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E30" w:rsidRPr="00724AEE" w:rsidRDefault="00085E30" w:rsidP="00085E30">
      <w:pPr>
        <w:spacing w:after="120" w:line="23" w:lineRule="atLeast"/>
        <w:jc w:val="both"/>
        <w:rPr>
          <w:rFonts w:ascii="Times New Roman" w:hAnsi="Times New Roman" w:cs="Times New Roman"/>
        </w:rPr>
      </w:pPr>
      <w:r w:rsidRPr="00724AEE">
        <w:rPr>
          <w:rFonts w:ascii="Times New Roman" w:hAnsi="Times New Roman" w:cs="Times New Roman"/>
        </w:rPr>
        <w:t>Wnioskodawca otrzymuje grant na realizację opisanego we wniosku o przyznanie grantu zadania, jeżeli;</w:t>
      </w:r>
    </w:p>
    <w:p w:rsidR="00085E30" w:rsidRPr="00724AEE" w:rsidRDefault="00085E30" w:rsidP="00085E30">
      <w:pPr>
        <w:pStyle w:val="Akapitzlist"/>
        <w:numPr>
          <w:ilvl w:val="0"/>
          <w:numId w:val="2"/>
        </w:numPr>
        <w:spacing w:after="120" w:line="23" w:lineRule="atLeast"/>
        <w:jc w:val="both"/>
        <w:rPr>
          <w:rFonts w:ascii="Times New Roman" w:hAnsi="Times New Roman" w:cs="Times New Roman"/>
        </w:rPr>
      </w:pPr>
      <w:r w:rsidRPr="00724AEE">
        <w:rPr>
          <w:rFonts w:ascii="Times New Roman" w:hAnsi="Times New Roman" w:cs="Times New Roman"/>
        </w:rPr>
        <w:t xml:space="preserve">jego wniosek zostanie wybrany w konkursie przez LGD, oraz </w:t>
      </w:r>
    </w:p>
    <w:p w:rsidR="00085E30" w:rsidRPr="00724AEE" w:rsidRDefault="00085E30" w:rsidP="00085E30">
      <w:pPr>
        <w:pStyle w:val="Akapitzlist"/>
        <w:numPr>
          <w:ilvl w:val="0"/>
          <w:numId w:val="2"/>
        </w:numPr>
        <w:spacing w:after="120" w:line="23" w:lineRule="atLeast"/>
        <w:jc w:val="both"/>
        <w:rPr>
          <w:rFonts w:ascii="Times New Roman" w:hAnsi="Times New Roman" w:cs="Times New Roman"/>
        </w:rPr>
      </w:pPr>
      <w:r w:rsidRPr="00724AEE">
        <w:rPr>
          <w:rFonts w:ascii="Times New Roman" w:hAnsi="Times New Roman" w:cs="Times New Roman"/>
        </w:rPr>
        <w:t xml:space="preserve">Zarząd Województwa Dolnośląskiego, dokonujący weryfikacji wniosku o przyznanie pomocy na realizację projektu grantowego, w tym prawidłowości przeprowadzenia konkursu przez LGD, nie zakwestionuje tego wyboru w całości lub takiej części, która uniemożliwia przyznanie grantu na realizację konkretnego zadania. </w:t>
      </w:r>
    </w:p>
    <w:p w:rsidR="00085E30" w:rsidRDefault="00085E30" w:rsidP="00085E30">
      <w:pPr>
        <w:spacing w:after="120" w:line="23" w:lineRule="atLeast"/>
        <w:jc w:val="both"/>
        <w:rPr>
          <w:rFonts w:ascii="Times New Roman" w:hAnsi="Times New Roman" w:cs="Times New Roman"/>
        </w:rPr>
      </w:pPr>
      <w:r w:rsidRPr="00724AEE">
        <w:rPr>
          <w:rFonts w:ascii="Times New Roman" w:hAnsi="Times New Roman" w:cs="Times New Roman"/>
          <w:b/>
        </w:rPr>
        <w:t>Ad. 1.</w:t>
      </w:r>
      <w:r w:rsidRPr="00724AEE">
        <w:rPr>
          <w:rFonts w:ascii="Times New Roman" w:hAnsi="Times New Roman" w:cs="Times New Roman"/>
        </w:rPr>
        <w:t xml:space="preserve">W wyniku dokonanej przez Radę LGD oceny, zostanie sporządzona lista wniosków, na której zostaną zamieszczone wszystkie zadania objęte wnioskami złożonymi w konkursie, uszeregowane zgodnie z liczbą przyznanych punktów, od zadania z największą do zadania z najmniejsza liczbą punktów. Grant zostanie przyznany wyłącznie tym </w:t>
      </w:r>
      <w:proofErr w:type="spellStart"/>
      <w:r w:rsidRPr="00724AEE">
        <w:rPr>
          <w:rFonts w:ascii="Times New Roman" w:hAnsi="Times New Roman" w:cs="Times New Roman"/>
        </w:rPr>
        <w:t>grantobiorcom</w:t>
      </w:r>
      <w:proofErr w:type="spellEnd"/>
      <w:r w:rsidRPr="00724AEE">
        <w:rPr>
          <w:rFonts w:ascii="Times New Roman" w:hAnsi="Times New Roman" w:cs="Times New Roman"/>
        </w:rPr>
        <w:t>, którzy uzyskają minimalna liczbę punktów</w:t>
      </w:r>
      <w:r w:rsidRPr="00724AEE">
        <w:rPr>
          <w:rFonts w:ascii="Times New Roman" w:hAnsi="Times New Roman" w:cs="Times New Roman"/>
          <w:color w:val="FF0000"/>
        </w:rPr>
        <w:t xml:space="preserve"> </w:t>
      </w:r>
      <w:r w:rsidRPr="00724AEE">
        <w:rPr>
          <w:rFonts w:ascii="Times New Roman" w:hAnsi="Times New Roman" w:cs="Times New Roman"/>
        </w:rPr>
        <w:t>określoną w ogłoszeniu o naborze oraz w kryteriach wyboru operacji, a ich wnioski będą mieściły się w limicie środków, o którym mowa w pkt VI. Od oceny Rady przysługuje odwołanie. Termin, formę i procedurę składania odwołania określa dokument Procedury realizacji projektów grantowych, dostępny pod następującym adresem</w:t>
      </w:r>
    </w:p>
    <w:bookmarkStart w:id="0" w:name="_GoBack"/>
    <w:bookmarkEnd w:id="0"/>
    <w:p w:rsidR="00085E30" w:rsidRPr="00724AEE" w:rsidRDefault="001B119E" w:rsidP="00085E30">
      <w:pPr>
        <w:spacing w:after="120" w:line="23" w:lineRule="atLeast"/>
        <w:jc w:val="both"/>
        <w:rPr>
          <w:rFonts w:ascii="Times New Roman" w:hAnsi="Times New Roman" w:cs="Times New Roman"/>
          <w:b/>
        </w:rPr>
      </w:pPr>
      <w:r>
        <w:fldChar w:fldCharType="begin"/>
      </w:r>
      <w:r>
        <w:instrText xml:space="preserve"> HYPERLINK "http://www.dobrawidawa.pl/dla-beneficjenta/operacje-grantowe/711-nowa-procedura-grantowa" </w:instrText>
      </w:r>
      <w:r>
        <w:fldChar w:fldCharType="separate"/>
      </w:r>
      <w:r w:rsidR="00085E30" w:rsidRPr="00814671">
        <w:rPr>
          <w:rStyle w:val="Hipercze"/>
          <w:rFonts w:ascii="Times New Roman" w:hAnsi="Times New Roman" w:cs="Times New Roman"/>
          <w:b/>
        </w:rPr>
        <w:t>http://www.dobrawidawa.pl/dla-beneficjenta/operacje-grantowe/711-nowa-procedura-grantowa</w:t>
      </w:r>
      <w:r>
        <w:rPr>
          <w:rStyle w:val="Hipercze"/>
          <w:rFonts w:ascii="Times New Roman" w:hAnsi="Times New Roman" w:cs="Times New Roman"/>
          <w:b/>
        </w:rPr>
        <w:fldChar w:fldCharType="end"/>
      </w:r>
      <w:r w:rsidR="00085E30">
        <w:rPr>
          <w:rFonts w:ascii="Times New Roman" w:hAnsi="Times New Roman" w:cs="Times New Roman"/>
          <w:b/>
        </w:rPr>
        <w:t xml:space="preserve"> </w:t>
      </w:r>
    </w:p>
    <w:p w:rsidR="00085E30" w:rsidRPr="00724AEE" w:rsidRDefault="00085E30" w:rsidP="00085E30">
      <w:pPr>
        <w:spacing w:after="120" w:line="23" w:lineRule="atLeast"/>
        <w:jc w:val="both"/>
        <w:rPr>
          <w:rFonts w:ascii="Times New Roman" w:hAnsi="Times New Roman" w:cs="Times New Roman"/>
        </w:rPr>
      </w:pPr>
      <w:r w:rsidRPr="00724AEE">
        <w:rPr>
          <w:rFonts w:ascii="Times New Roman" w:hAnsi="Times New Roman" w:cs="Times New Roman"/>
          <w:b/>
        </w:rPr>
        <w:t>Ad. 2.</w:t>
      </w:r>
      <w:r w:rsidRPr="00724AEE">
        <w:rPr>
          <w:rFonts w:ascii="Times New Roman" w:hAnsi="Times New Roman" w:cs="Times New Roman"/>
        </w:rPr>
        <w:t xml:space="preserve"> Po przeprowadzonym konkursie i rozpatrzeniu </w:t>
      </w:r>
      <w:proofErr w:type="spellStart"/>
      <w:r w:rsidRPr="00724AEE">
        <w:rPr>
          <w:rFonts w:ascii="Times New Roman" w:hAnsi="Times New Roman" w:cs="Times New Roman"/>
        </w:rPr>
        <w:t>odwołań</w:t>
      </w:r>
      <w:proofErr w:type="spellEnd"/>
      <w:r w:rsidRPr="00724AEE">
        <w:rPr>
          <w:rFonts w:ascii="Times New Roman" w:hAnsi="Times New Roman" w:cs="Times New Roman"/>
        </w:rPr>
        <w:t xml:space="preserve">, LGD przygotuje wniosek o przyznanie pomocy na realizację projektu grantowego, w którym zostanie przewidziane przyznanie grantów na realizację zadań wybranych przez Radę LGD. Zarząd Województwa Dolnośląskiego przeprowadzi weryfikację tego wniosku oraz oceni, czy konkurs na wybór zadań został przeprowadzony przez LGD prawidłowo. Po zakończeniu weryfikacji zawrze z LGD umowę o przyznanie pomocy na realizację tego projektu albo odmówi zawarcia takiej umowy. W przypadku zawarcia umowy o przyznaniu pomocy na realizację projektu grantowego jej zakres będzie decydował, które z zadań wybranych uprzednio przez LGD mają zapewnione dofinansowanie w formie grantu, ponieważ może zdarzyć się, ze zadanie wybrane przez Radę, na skutek weryfikacji dokonanej przez Zarząd Województwa, nie może otrzymać grantu. </w:t>
      </w:r>
    </w:p>
    <w:p w:rsidR="00085E30" w:rsidRPr="00724AEE" w:rsidRDefault="00085E30" w:rsidP="00085E30">
      <w:pPr>
        <w:spacing w:after="120" w:line="23" w:lineRule="atLeast"/>
        <w:jc w:val="both"/>
        <w:rPr>
          <w:rFonts w:ascii="Times New Roman" w:hAnsi="Times New Roman" w:cs="Times New Roman"/>
        </w:rPr>
      </w:pPr>
      <w:r w:rsidRPr="00724AEE">
        <w:rPr>
          <w:rFonts w:ascii="Times New Roman" w:hAnsi="Times New Roman" w:cs="Times New Roman"/>
        </w:rPr>
        <w:t xml:space="preserve">Z wnioskodawcami, których zadania przejdą pomyślnie oba opisane wyżej etapy LGD zawrze umowę o powierzenie grantu </w:t>
      </w:r>
    </w:p>
    <w:p w:rsidR="00085E30" w:rsidRPr="00724AEE" w:rsidRDefault="00085E30" w:rsidP="00085E30">
      <w:pPr>
        <w:spacing w:after="120" w:line="23" w:lineRule="atLeast"/>
        <w:jc w:val="both"/>
        <w:rPr>
          <w:rFonts w:ascii="Times New Roman" w:hAnsi="Times New Roman" w:cs="Times New Roman"/>
          <w:b/>
        </w:rPr>
      </w:pPr>
      <w:r w:rsidRPr="00724AEE">
        <w:rPr>
          <w:rFonts w:ascii="Times New Roman" w:hAnsi="Times New Roman" w:cs="Times New Roman"/>
          <w:b/>
        </w:rPr>
        <w:t>Najważniejsze szczegółowe warunki przyznania grantu:</w:t>
      </w:r>
    </w:p>
    <w:p w:rsidR="00085E30" w:rsidRPr="00724AEE" w:rsidRDefault="00085E30" w:rsidP="00085E30">
      <w:pPr>
        <w:pStyle w:val="Akapitzlist"/>
        <w:numPr>
          <w:ilvl w:val="0"/>
          <w:numId w:val="1"/>
        </w:numPr>
        <w:spacing w:after="120" w:line="23" w:lineRule="atLeast"/>
        <w:contextualSpacing w:val="0"/>
        <w:jc w:val="both"/>
        <w:rPr>
          <w:rFonts w:ascii="Times New Roman" w:hAnsi="Times New Roman" w:cs="Times New Roman"/>
        </w:rPr>
      </w:pPr>
      <w:r w:rsidRPr="00724AEE">
        <w:rPr>
          <w:rFonts w:ascii="Times New Roman" w:hAnsi="Times New Roman" w:cs="Times New Roman"/>
        </w:rPr>
        <w:t>Osobiste złożenie wniosku o przyznanie grantu w miejscu i terminie wskazanym w niniejszym ogłoszeniu;</w:t>
      </w:r>
    </w:p>
    <w:p w:rsidR="00085E30" w:rsidRPr="00724AEE" w:rsidRDefault="00085E30" w:rsidP="00085E30">
      <w:pPr>
        <w:pStyle w:val="Akapitzlist"/>
        <w:numPr>
          <w:ilvl w:val="0"/>
          <w:numId w:val="1"/>
        </w:numPr>
        <w:spacing w:after="120" w:line="23" w:lineRule="atLeast"/>
        <w:contextualSpacing w:val="0"/>
        <w:jc w:val="both"/>
        <w:rPr>
          <w:rFonts w:ascii="Times New Roman" w:hAnsi="Times New Roman" w:cs="Times New Roman"/>
        </w:rPr>
      </w:pPr>
      <w:r w:rsidRPr="00724AEE">
        <w:rPr>
          <w:rFonts w:ascii="Times New Roman" w:hAnsi="Times New Roman" w:cs="Times New Roman"/>
        </w:rPr>
        <w:t>Wskazanie we wniosku o przyznanie grantu zadania, które mieści się w zakresie tematycznym konkursu;</w:t>
      </w:r>
    </w:p>
    <w:p w:rsidR="00085E30" w:rsidRPr="00724AEE" w:rsidRDefault="00085E30" w:rsidP="00085E30">
      <w:pPr>
        <w:pStyle w:val="Akapitzlist"/>
        <w:numPr>
          <w:ilvl w:val="0"/>
          <w:numId w:val="1"/>
        </w:numPr>
        <w:spacing w:after="120" w:line="23" w:lineRule="atLeast"/>
        <w:contextualSpacing w:val="0"/>
        <w:jc w:val="both"/>
        <w:rPr>
          <w:rFonts w:ascii="Times New Roman" w:hAnsi="Times New Roman" w:cs="Times New Roman"/>
        </w:rPr>
      </w:pPr>
      <w:r w:rsidRPr="00724AEE">
        <w:rPr>
          <w:rFonts w:ascii="Times New Roman" w:hAnsi="Times New Roman" w:cs="Times New Roman"/>
        </w:rPr>
        <w:t>Dołączenie do wniosku dokumentów umożliwiających dokonanie oceny zadania opisanego we wniosku o przyznanie grantu z punktu widzenia spełnienia warunków udzielenia grantu oraz zgodności zadania z kryteriami oceny;</w:t>
      </w:r>
    </w:p>
    <w:p w:rsidR="00085E30" w:rsidRPr="00724AEE" w:rsidRDefault="00085E30" w:rsidP="00085E30">
      <w:pPr>
        <w:pStyle w:val="Akapitzlist"/>
        <w:numPr>
          <w:ilvl w:val="0"/>
          <w:numId w:val="1"/>
        </w:numPr>
        <w:spacing w:after="120" w:line="23" w:lineRule="atLeast"/>
        <w:contextualSpacing w:val="0"/>
        <w:jc w:val="both"/>
        <w:rPr>
          <w:rFonts w:ascii="Times New Roman" w:hAnsi="Times New Roman" w:cs="Times New Roman"/>
        </w:rPr>
      </w:pPr>
      <w:r w:rsidRPr="00724AEE">
        <w:rPr>
          <w:rFonts w:ascii="Times New Roman" w:hAnsi="Times New Roman" w:cs="Times New Roman"/>
        </w:rPr>
        <w:t xml:space="preserve">Uzyskanie, w ramach oceny zadania opisanego we wniosku o przyznanie grantu, co najmniej </w:t>
      </w:r>
      <w:r w:rsidRPr="00724AEE">
        <w:rPr>
          <w:rFonts w:ascii="Times New Roman" w:hAnsi="Times New Roman" w:cs="Times New Roman"/>
          <w:b/>
        </w:rPr>
        <w:t>4 punktów,</w:t>
      </w:r>
      <w:r w:rsidRPr="00724AEE">
        <w:rPr>
          <w:rFonts w:ascii="Times New Roman" w:hAnsi="Times New Roman" w:cs="Times New Roman"/>
        </w:rPr>
        <w:t xml:space="preserve"> uznanie, że zadanie jest zgodne z LSR i mieści się w zakresie tematycznym konkursu,</w:t>
      </w:r>
    </w:p>
    <w:p w:rsidR="00085E30" w:rsidRPr="00724AEE" w:rsidRDefault="00085E30" w:rsidP="00085E30">
      <w:pPr>
        <w:pStyle w:val="Akapitzlist"/>
        <w:numPr>
          <w:ilvl w:val="0"/>
          <w:numId w:val="1"/>
        </w:numPr>
        <w:spacing w:after="120" w:line="23" w:lineRule="atLeast"/>
        <w:contextualSpacing w:val="0"/>
        <w:jc w:val="both"/>
        <w:rPr>
          <w:rFonts w:ascii="Times New Roman" w:hAnsi="Times New Roman" w:cs="Times New Roman"/>
        </w:rPr>
      </w:pPr>
      <w:r w:rsidRPr="00724AEE">
        <w:rPr>
          <w:rFonts w:ascii="Times New Roman" w:hAnsi="Times New Roman" w:cs="Times New Roman"/>
        </w:rPr>
        <w:t xml:space="preserve">Uzyskanie, w ramach oceny zadania opisanego we wniosku o przyznanie grantu, takiej liczby punktów, dzięki której wniosek zostanie umieszczony na liście ocenionych zadań na miejscu, które mieści się w limicie środków przeznaczonych do podziału między </w:t>
      </w:r>
      <w:proofErr w:type="spellStart"/>
      <w:r w:rsidRPr="00724AEE">
        <w:rPr>
          <w:rFonts w:ascii="Times New Roman" w:hAnsi="Times New Roman" w:cs="Times New Roman"/>
        </w:rPr>
        <w:t>grantobiorców</w:t>
      </w:r>
      <w:proofErr w:type="spellEnd"/>
      <w:r w:rsidRPr="00724AEE">
        <w:rPr>
          <w:rFonts w:ascii="Times New Roman" w:hAnsi="Times New Roman" w:cs="Times New Roman"/>
        </w:rPr>
        <w:t xml:space="preserve">. W przypadku wnioskodawców będących jednostkami sektora finansów publicznych, zadania, które mają realizować te jednostki nie mogą opiewać w sumie na więcej niż </w:t>
      </w:r>
      <w:r w:rsidRPr="00724AEE">
        <w:rPr>
          <w:rFonts w:ascii="Times New Roman" w:hAnsi="Times New Roman" w:cs="Times New Roman"/>
          <w:b/>
        </w:rPr>
        <w:t>20% wartości projektu grantowego</w:t>
      </w:r>
      <w:r w:rsidRPr="00724AEE">
        <w:rPr>
          <w:rFonts w:ascii="Times New Roman" w:hAnsi="Times New Roman" w:cs="Times New Roman"/>
        </w:rPr>
        <w:t xml:space="preserve">. Dlatego wnioski tych jednostek zostaną wybrane do realizacji, jeżeli w wyniku przeprowadzonej oceny zostaną umieszczone na liście ocenionych zadań na miejscu, które mieści się w limicie środków przeznaczonych do podziału między wszystkich </w:t>
      </w:r>
      <w:proofErr w:type="spellStart"/>
      <w:r w:rsidRPr="00724AEE">
        <w:rPr>
          <w:rFonts w:ascii="Times New Roman" w:hAnsi="Times New Roman" w:cs="Times New Roman"/>
        </w:rPr>
        <w:t>grantobiorców</w:t>
      </w:r>
      <w:proofErr w:type="spellEnd"/>
      <w:r w:rsidRPr="00724AEE">
        <w:rPr>
          <w:rFonts w:ascii="Times New Roman" w:hAnsi="Times New Roman" w:cs="Times New Roman"/>
        </w:rPr>
        <w:t xml:space="preserve"> i jednocześnie mieści się w limicie dla jednostek sektora finansów publicznych. </w:t>
      </w:r>
      <w:r w:rsidRPr="00724AEE">
        <w:rPr>
          <w:rFonts w:ascii="Times New Roman" w:hAnsi="Times New Roman" w:cs="Times New Roman"/>
        </w:rPr>
        <w:lastRenderedPageBreak/>
        <w:t xml:space="preserve">Wnioski tych jednostek, które nie mieszczą się w limicie dla sektora finansów publicznych, nie zostaną wybrane do realizacji </w:t>
      </w:r>
    </w:p>
    <w:p w:rsidR="00085E30" w:rsidRPr="00724AEE" w:rsidRDefault="00085E30" w:rsidP="00085E30">
      <w:pPr>
        <w:pStyle w:val="Akapitzlist"/>
        <w:numPr>
          <w:ilvl w:val="0"/>
          <w:numId w:val="1"/>
        </w:numPr>
        <w:spacing w:after="120" w:line="23" w:lineRule="atLeast"/>
        <w:contextualSpacing w:val="0"/>
        <w:jc w:val="both"/>
        <w:rPr>
          <w:rFonts w:ascii="Times New Roman" w:hAnsi="Times New Roman" w:cs="Times New Roman"/>
        </w:rPr>
      </w:pPr>
      <w:r w:rsidRPr="00724AEE">
        <w:rPr>
          <w:rFonts w:ascii="Times New Roman" w:hAnsi="Times New Roman" w:cs="Times New Roman"/>
        </w:rPr>
        <w:t>Stawienie się przez wnioskodawcę w wyznaczonym terminie do zawarcia umowy o powierzenie grantu oraz przedłożenie wszystkich dokumentów niezbędnych do zawarcia umowy o powierzenie grantu, w tym zapewnienie zabezpieczenia należytej realizacji umowy o powierzenie grantu.</w:t>
      </w:r>
    </w:p>
    <w:p w:rsidR="00085E30" w:rsidRPr="00724AEE" w:rsidRDefault="00085E30" w:rsidP="00085E30">
      <w:pPr>
        <w:pStyle w:val="Akapitzlist"/>
        <w:numPr>
          <w:ilvl w:val="0"/>
          <w:numId w:val="1"/>
        </w:numPr>
        <w:spacing w:after="120" w:line="23" w:lineRule="atLeast"/>
        <w:contextualSpacing w:val="0"/>
        <w:jc w:val="both"/>
        <w:rPr>
          <w:rFonts w:ascii="Times New Roman" w:hAnsi="Times New Roman" w:cs="Times New Roman"/>
        </w:rPr>
      </w:pPr>
      <w:r w:rsidRPr="00724AEE">
        <w:rPr>
          <w:rFonts w:ascii="Times New Roman" w:hAnsi="Times New Roman" w:cs="Times New Roman"/>
        </w:rPr>
        <w:t xml:space="preserve">Nieznajdowanie się na liście osób wykluczonych z otrzymania dofinansowania </w:t>
      </w:r>
      <w:r w:rsidRPr="00724AEE">
        <w:rPr>
          <w:rFonts w:ascii="Times New Roman" w:hAnsi="Times New Roman" w:cs="Times New Roman"/>
        </w:rPr>
        <w:br/>
        <w:t>(art. 35 ust. 4 ustawy z dnia 11 lipca 2014 r</w:t>
      </w:r>
      <w:r w:rsidRPr="00724AEE">
        <w:rPr>
          <w:rFonts w:ascii="Times New Roman" w:hAnsi="Times New Roman" w:cs="Times New Roman"/>
          <w:i/>
        </w:rPr>
        <w:t>. o zasadach realizacji programów w zakresie polityki spójności finansowanych w perspektywie finansowej 2014-2020</w:t>
      </w:r>
      <w:r w:rsidRPr="00724AEE">
        <w:rPr>
          <w:rFonts w:ascii="Times New Roman" w:hAnsi="Times New Roman" w:cs="Times New Roman"/>
        </w:rPr>
        <w:t xml:space="preserve"> w związku z art. 17 ust. 4 ustawy z dnia 20 lutego 2015 r. </w:t>
      </w:r>
      <w:r w:rsidRPr="00724AEE">
        <w:rPr>
          <w:rFonts w:ascii="Times New Roman" w:hAnsi="Times New Roman" w:cs="Times New Roman"/>
          <w:i/>
        </w:rPr>
        <w:t>o rozwoju lokalnym z udziałem lokalnej społeczności</w:t>
      </w:r>
      <w:r w:rsidRPr="00724AEE">
        <w:rPr>
          <w:rFonts w:ascii="Times New Roman" w:hAnsi="Times New Roman" w:cs="Times New Roman"/>
        </w:rPr>
        <w:t>);</w:t>
      </w:r>
    </w:p>
    <w:p w:rsidR="00085E30" w:rsidRPr="00724AEE" w:rsidRDefault="00085E30" w:rsidP="00085E30">
      <w:pPr>
        <w:pStyle w:val="Akapitzlist"/>
        <w:numPr>
          <w:ilvl w:val="0"/>
          <w:numId w:val="1"/>
        </w:numPr>
        <w:spacing w:after="120" w:line="23" w:lineRule="atLeast"/>
        <w:contextualSpacing w:val="0"/>
        <w:jc w:val="both"/>
        <w:rPr>
          <w:rFonts w:ascii="Times New Roman" w:hAnsi="Times New Roman" w:cs="Times New Roman"/>
        </w:rPr>
      </w:pPr>
      <w:r w:rsidRPr="00724AEE">
        <w:rPr>
          <w:rFonts w:ascii="Times New Roman" w:hAnsi="Times New Roman" w:cs="Times New Roman"/>
        </w:rPr>
        <w:t>Nieprowadzenie działalności gospodarczej w rozumieniu przepisów o swobodzie działalności gospodarczej.</w:t>
      </w:r>
    </w:p>
    <w:p w:rsidR="00085E30" w:rsidRPr="00724AEE" w:rsidRDefault="00085E30" w:rsidP="00085E30">
      <w:pPr>
        <w:spacing w:after="120" w:line="23" w:lineRule="atLeast"/>
        <w:jc w:val="both"/>
        <w:rPr>
          <w:rFonts w:ascii="Times New Roman" w:hAnsi="Times New Roman" w:cs="Times New Roman"/>
          <w:b/>
        </w:rPr>
      </w:pPr>
      <w:r w:rsidRPr="00724AEE">
        <w:rPr>
          <w:rFonts w:ascii="Times New Roman" w:hAnsi="Times New Roman" w:cs="Times New Roman"/>
        </w:rPr>
        <w:t xml:space="preserve">Szczegółowych informacji dotyczących wszystkich warunków, jakie spełnić musi osoba zainteresowana przyznaniem grantu udziela </w:t>
      </w:r>
      <w:r w:rsidRPr="00724AEE">
        <w:rPr>
          <w:rFonts w:ascii="Times New Roman" w:hAnsi="Times New Roman" w:cs="Times New Roman"/>
          <w:b/>
        </w:rPr>
        <w:t>Biuro LGD, ul. Wojska Polskiego 67/69, 56-400 Oleśnica, w godzinach od 7:45 do 15:45.</w:t>
      </w:r>
    </w:p>
    <w:p w:rsidR="00175BC6" w:rsidRDefault="001B119E"/>
    <w:sectPr w:rsidR="00175BC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09A" w:rsidRDefault="005C209A" w:rsidP="00085E30">
      <w:pPr>
        <w:spacing w:after="0" w:line="240" w:lineRule="auto"/>
      </w:pPr>
      <w:r>
        <w:separator/>
      </w:r>
    </w:p>
  </w:endnote>
  <w:endnote w:type="continuationSeparator" w:id="0">
    <w:p w:rsidR="005C209A" w:rsidRDefault="005C209A" w:rsidP="0008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09A" w:rsidRDefault="005C209A" w:rsidP="00085E30">
      <w:pPr>
        <w:spacing w:after="0" w:line="240" w:lineRule="auto"/>
      </w:pPr>
      <w:r>
        <w:separator/>
      </w:r>
    </w:p>
  </w:footnote>
  <w:footnote w:type="continuationSeparator" w:id="0">
    <w:p w:rsidR="005C209A" w:rsidRDefault="005C209A" w:rsidP="0008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30" w:rsidRDefault="00085E30">
    <w:pPr>
      <w:pStyle w:val="Nagwek"/>
    </w:pPr>
    <w:r>
      <w:t>Załącznik nr 1 do ogłoszenia o konkursie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D3B33"/>
    <w:multiLevelType w:val="hybridMultilevel"/>
    <w:tmpl w:val="68364C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0360BA3"/>
    <w:multiLevelType w:val="hybridMultilevel"/>
    <w:tmpl w:val="E7C4D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30"/>
    <w:rsid w:val="00085E30"/>
    <w:rsid w:val="001B119E"/>
    <w:rsid w:val="003247EB"/>
    <w:rsid w:val="0040731B"/>
    <w:rsid w:val="0051155C"/>
    <w:rsid w:val="005C209A"/>
    <w:rsid w:val="009069E1"/>
    <w:rsid w:val="00CB56AB"/>
    <w:rsid w:val="00DC6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9E38"/>
  <w15:chartTrackingRefBased/>
  <w15:docId w15:val="{667DD204-8A29-495C-AD79-E5D97307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5E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5E30"/>
    <w:pPr>
      <w:ind w:left="720"/>
      <w:contextualSpacing/>
    </w:pPr>
  </w:style>
  <w:style w:type="paragraph" w:styleId="Stopka">
    <w:name w:val="footer"/>
    <w:basedOn w:val="Normalny"/>
    <w:link w:val="StopkaZnak"/>
    <w:uiPriority w:val="99"/>
    <w:unhideWhenUsed/>
    <w:rsid w:val="00085E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E30"/>
  </w:style>
  <w:style w:type="paragraph" w:styleId="Tekstprzypisudolnego">
    <w:name w:val="footnote text"/>
    <w:basedOn w:val="Normalny"/>
    <w:link w:val="TekstprzypisudolnegoZnak"/>
    <w:uiPriority w:val="99"/>
    <w:unhideWhenUsed/>
    <w:rsid w:val="00085E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85E30"/>
    <w:rPr>
      <w:sz w:val="20"/>
      <w:szCs w:val="20"/>
    </w:rPr>
  </w:style>
  <w:style w:type="character" w:styleId="Hipercze">
    <w:name w:val="Hyperlink"/>
    <w:basedOn w:val="Domylnaczcionkaakapitu"/>
    <w:uiPriority w:val="99"/>
    <w:unhideWhenUsed/>
    <w:rsid w:val="00085E30"/>
    <w:rPr>
      <w:color w:val="0563C1" w:themeColor="hyperlink"/>
      <w:u w:val="single"/>
    </w:rPr>
  </w:style>
  <w:style w:type="paragraph" w:styleId="Nagwek">
    <w:name w:val="header"/>
    <w:basedOn w:val="Normalny"/>
    <w:link w:val="NagwekZnak"/>
    <w:uiPriority w:val="99"/>
    <w:unhideWhenUsed/>
    <w:rsid w:val="00085E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692</Words>
  <Characters>4155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LGD Dobra Widawa</cp:lastModifiedBy>
  <cp:revision>4</cp:revision>
  <dcterms:created xsi:type="dcterms:W3CDTF">2019-09-03T09:07:00Z</dcterms:created>
  <dcterms:modified xsi:type="dcterms:W3CDTF">2021-04-27T08:50:00Z</dcterms:modified>
</cp:coreProperties>
</file>