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E756B" w14:textId="77777777" w:rsidR="004644C1" w:rsidRPr="00117FC4" w:rsidRDefault="004644C1" w:rsidP="004644C1">
      <w:pPr>
        <w:suppressAutoHyphens/>
        <w:autoSpaceDE/>
        <w:autoSpaceDN/>
        <w:adjustRightInd/>
        <w:jc w:val="center"/>
        <w:rPr>
          <w:b/>
          <w:bCs/>
          <w:lang w:eastAsia="en-US"/>
        </w:rPr>
      </w:pPr>
      <w:bookmarkStart w:id="0" w:name="_GoBack"/>
      <w:bookmarkEnd w:id="0"/>
      <w:r w:rsidRPr="00117FC4">
        <w:rPr>
          <w:b/>
          <w:bCs/>
          <w:lang w:eastAsia="en-US"/>
        </w:rPr>
        <w:t>UZASADNIENIE</w:t>
      </w:r>
    </w:p>
    <w:p w14:paraId="18AB42BF" w14:textId="77777777" w:rsidR="004644C1" w:rsidRPr="00117FC4" w:rsidRDefault="004644C1" w:rsidP="00C704D8">
      <w:pPr>
        <w:spacing w:before="360"/>
      </w:pPr>
      <w:r w:rsidRPr="00117FC4">
        <w:t>Projekt ustawy przewiduje wprowadzenie zmian w:</w:t>
      </w:r>
    </w:p>
    <w:p w14:paraId="7D2C47B0" w14:textId="77777777" w:rsidR="004644C1" w:rsidRPr="00117FC4" w:rsidRDefault="004644C1" w:rsidP="00185048">
      <w:pPr>
        <w:pStyle w:val="Akapitzlist"/>
        <w:numPr>
          <w:ilvl w:val="0"/>
          <w:numId w:val="11"/>
        </w:numPr>
        <w:ind w:left="709" w:hanging="436"/>
        <w:jc w:val="both"/>
      </w:pPr>
      <w:r w:rsidRPr="00117FC4">
        <w:rPr>
          <w:rFonts w:cs="Times New Roman"/>
        </w:rPr>
        <w:t>ustawie z dnia 7 lipca 1994 r.</w:t>
      </w:r>
      <w:r w:rsidRPr="00117FC4">
        <w:rPr>
          <w:bCs/>
          <w:szCs w:val="24"/>
        </w:rPr>
        <w:t xml:space="preserve"> – </w:t>
      </w:r>
      <w:r w:rsidRPr="00117FC4">
        <w:rPr>
          <w:rFonts w:cs="Times New Roman"/>
        </w:rPr>
        <w:t>Prawo budowlane (Dz. U. z 2020 r. poz. 1333, 2127 i</w:t>
      </w:r>
      <w:r w:rsidR="00274300">
        <w:rPr>
          <w:rFonts w:cs="Times New Roman"/>
        </w:rPr>
        <w:t> </w:t>
      </w:r>
      <w:r w:rsidRPr="00117FC4">
        <w:rPr>
          <w:rFonts w:cs="Times New Roman"/>
        </w:rPr>
        <w:t xml:space="preserve"> 2320 oraz z 2021 r. poz. 11, 234</w:t>
      </w:r>
      <w:r w:rsidR="0031465E">
        <w:rPr>
          <w:rFonts w:cs="Times New Roman"/>
        </w:rPr>
        <w:t>,</w:t>
      </w:r>
      <w:r w:rsidRPr="00117FC4">
        <w:rPr>
          <w:rFonts w:cs="Times New Roman"/>
        </w:rPr>
        <w:t xml:space="preserve"> 282</w:t>
      </w:r>
      <w:r w:rsidR="0031465E">
        <w:rPr>
          <w:rFonts w:cs="Times New Roman"/>
        </w:rPr>
        <w:t xml:space="preserve"> i 784</w:t>
      </w:r>
      <w:r w:rsidRPr="00117FC4">
        <w:rPr>
          <w:rFonts w:cs="Times New Roman"/>
        </w:rPr>
        <w:t>),</w:t>
      </w:r>
    </w:p>
    <w:p w14:paraId="43448503" w14:textId="77777777" w:rsidR="00185048" w:rsidRPr="00185048" w:rsidRDefault="00185048" w:rsidP="00185048">
      <w:pPr>
        <w:pStyle w:val="Akapitzlist"/>
        <w:numPr>
          <w:ilvl w:val="0"/>
          <w:numId w:val="11"/>
        </w:numPr>
        <w:jc w:val="both"/>
      </w:pPr>
      <w:r w:rsidRPr="008569EB">
        <w:t xml:space="preserve">ustawie z dnia 9 maja 2008 r. o Agencji Restrukturyzacji i Modernizacji </w:t>
      </w:r>
      <w:r w:rsidRPr="008569EB">
        <w:rPr>
          <w:rFonts w:cs="Times New Roman"/>
          <w:szCs w:val="24"/>
        </w:rPr>
        <w:t>Rolnictwa (Dz. U. z 2019 r. poz. 1505)</w:t>
      </w:r>
      <w:r>
        <w:rPr>
          <w:rFonts w:cs="Times New Roman"/>
          <w:szCs w:val="24"/>
        </w:rPr>
        <w:t>,</w:t>
      </w:r>
    </w:p>
    <w:p w14:paraId="36AFA5CC" w14:textId="77777777" w:rsidR="004644C1" w:rsidRPr="00117FC4" w:rsidRDefault="004644C1" w:rsidP="00185048">
      <w:pPr>
        <w:pStyle w:val="Akapitzlist"/>
        <w:numPr>
          <w:ilvl w:val="0"/>
          <w:numId w:val="11"/>
        </w:numPr>
        <w:jc w:val="both"/>
      </w:pPr>
      <w:r w:rsidRPr="00117FC4">
        <w:rPr>
          <w:rFonts w:cs="Times New Roman"/>
        </w:rPr>
        <w:t xml:space="preserve">ustawie z dnia 9 czerwca 2011 r. </w:t>
      </w:r>
      <w:r w:rsidRPr="00117FC4">
        <w:rPr>
          <w:bCs/>
          <w:szCs w:val="24"/>
        </w:rPr>
        <w:t>–</w:t>
      </w:r>
      <w:r w:rsidRPr="00117FC4">
        <w:rPr>
          <w:rFonts w:cs="Times New Roman"/>
        </w:rPr>
        <w:t xml:space="preserve"> Prawo geologiczne i górnicze (Dz. U. z 2020 r. poz. 1064, 1339 i 2320 oraz z 2021 r. poz. 234</w:t>
      </w:r>
      <w:r w:rsidR="0031465E">
        <w:rPr>
          <w:rFonts w:cs="Times New Roman"/>
        </w:rPr>
        <w:t xml:space="preserve"> i 784</w:t>
      </w:r>
      <w:r w:rsidRPr="00117FC4">
        <w:rPr>
          <w:rFonts w:cs="Times New Roman"/>
        </w:rPr>
        <w:t>),</w:t>
      </w:r>
    </w:p>
    <w:p w14:paraId="0B78578F" w14:textId="77777777" w:rsidR="004644C1" w:rsidRPr="00117FC4" w:rsidRDefault="004644C1" w:rsidP="00185048">
      <w:pPr>
        <w:pStyle w:val="Akapitzlist"/>
        <w:numPr>
          <w:ilvl w:val="0"/>
          <w:numId w:val="11"/>
        </w:numPr>
        <w:jc w:val="both"/>
      </w:pPr>
      <w:r w:rsidRPr="00117FC4">
        <w:rPr>
          <w:rFonts w:eastAsia="Calibri" w:cs="Times New Roman"/>
          <w:szCs w:val="24"/>
          <w:lang w:eastAsia="en-US"/>
        </w:rPr>
        <w:t>ustawie z dnia 20 lutego 2015 r. o rozwoju lokalnym z udziałem lokalnej społeczności</w:t>
      </w:r>
      <w:r w:rsidRPr="00117FC4">
        <w:rPr>
          <w:rFonts w:eastAsia="Calibri" w:cs="Times New Roman"/>
          <w:szCs w:val="24"/>
        </w:rPr>
        <w:t xml:space="preserve"> (Dz. U. z 2019 r. poz. 1167),</w:t>
      </w:r>
    </w:p>
    <w:p w14:paraId="22C3B143" w14:textId="77777777" w:rsidR="004644C1" w:rsidRPr="00117FC4" w:rsidRDefault="004644C1" w:rsidP="00185048">
      <w:pPr>
        <w:pStyle w:val="Akapitzlist"/>
        <w:numPr>
          <w:ilvl w:val="0"/>
          <w:numId w:val="11"/>
        </w:numPr>
        <w:jc w:val="both"/>
      </w:pPr>
      <w:r w:rsidRPr="00117FC4">
        <w:t xml:space="preserve">ustawie </w:t>
      </w:r>
      <w:r w:rsidRPr="00117FC4">
        <w:rPr>
          <w:rFonts w:eastAsia="Calibri"/>
        </w:rPr>
        <w:t>z dnia 20 lutego 2015 r. o wspieraniu rozwoju obszarów wiejskich z udziałem środków Europejskiego Funduszu Rolnego na rzecz Rozwoju Obszarów Wiejskich w ramach Programu Rozwoju Obszarów Wiejskich na lata 2014</w:t>
      </w:r>
      <w:r w:rsidRPr="00117FC4">
        <w:t>–</w:t>
      </w:r>
      <w:r w:rsidRPr="00117FC4">
        <w:rPr>
          <w:rFonts w:eastAsia="Calibri"/>
        </w:rPr>
        <w:t>2020 (Dz. U. z 2021 r. poz. 182</w:t>
      </w:r>
      <w:r w:rsidR="00277B88">
        <w:rPr>
          <w:rFonts w:eastAsia="Calibri"/>
        </w:rPr>
        <w:t xml:space="preserve"> i </w:t>
      </w:r>
      <w:r w:rsidR="008B2A2A">
        <w:rPr>
          <w:rFonts w:eastAsia="Calibri"/>
        </w:rPr>
        <w:t>904</w:t>
      </w:r>
      <w:r w:rsidRPr="00117FC4">
        <w:rPr>
          <w:rFonts w:eastAsia="Calibri"/>
        </w:rPr>
        <w:t>),</w:t>
      </w:r>
    </w:p>
    <w:p w14:paraId="4874268A" w14:textId="77777777" w:rsidR="004644C1" w:rsidRPr="00117FC4" w:rsidRDefault="004644C1" w:rsidP="00185048">
      <w:pPr>
        <w:pStyle w:val="Akapitzlist"/>
        <w:numPr>
          <w:ilvl w:val="0"/>
          <w:numId w:val="11"/>
        </w:numPr>
        <w:jc w:val="both"/>
      </w:pPr>
      <w:r w:rsidRPr="00117FC4">
        <w:rPr>
          <w:rFonts w:eastAsia="Calibri" w:cs="Times New Roman"/>
          <w:szCs w:val="24"/>
        </w:rPr>
        <w:t xml:space="preserve">ustawie </w:t>
      </w:r>
      <w:r w:rsidRPr="00117FC4">
        <w:rPr>
          <w:rFonts w:eastAsia="Times New Roman" w:cs="Times New Roman"/>
          <w:szCs w:val="24"/>
        </w:rPr>
        <w:t>z dnia 27 maja 2015 r. o finansowaniu wspólnej polityki rolnej (Dz. U. z 2018 r. poz. 719),</w:t>
      </w:r>
    </w:p>
    <w:p w14:paraId="2AF755C0" w14:textId="77777777" w:rsidR="004644C1" w:rsidRPr="00117FC4" w:rsidRDefault="004644C1" w:rsidP="00185048">
      <w:pPr>
        <w:pStyle w:val="Akapitzlist"/>
        <w:numPr>
          <w:ilvl w:val="0"/>
          <w:numId w:val="11"/>
        </w:numPr>
        <w:jc w:val="both"/>
      </w:pPr>
      <w:r w:rsidRPr="00117FC4">
        <w:rPr>
          <w:rFonts w:eastAsia="Calibri" w:cs="Times New Roman"/>
          <w:szCs w:val="24"/>
        </w:rPr>
        <w:t xml:space="preserve">ustawie </w:t>
      </w:r>
      <w:r w:rsidRPr="00117FC4">
        <w:rPr>
          <w:rFonts w:eastAsia="Calibri"/>
        </w:rPr>
        <w:t xml:space="preserve">z dnia 20 lipca 2017 r. </w:t>
      </w:r>
      <w:r w:rsidRPr="00117FC4">
        <w:rPr>
          <w:bCs/>
          <w:szCs w:val="24"/>
        </w:rPr>
        <w:t>–</w:t>
      </w:r>
      <w:r w:rsidRPr="00117FC4">
        <w:rPr>
          <w:rFonts w:eastAsia="Calibri"/>
        </w:rPr>
        <w:t xml:space="preserve"> Prawo wodne (</w:t>
      </w:r>
      <w:r w:rsidRPr="00117FC4">
        <w:rPr>
          <w:rFonts w:eastAsia="Calibri"/>
          <w:lang w:eastAsia="en-US"/>
        </w:rPr>
        <w:t>Dz. U. z 2021 r. poz. 624</w:t>
      </w:r>
      <w:r w:rsidR="0031465E">
        <w:rPr>
          <w:rFonts w:eastAsia="Calibri"/>
          <w:lang w:eastAsia="en-US"/>
        </w:rPr>
        <w:t xml:space="preserve"> i 784</w:t>
      </w:r>
      <w:r w:rsidR="0008542B">
        <w:rPr>
          <w:rFonts w:eastAsia="Calibri"/>
          <w:lang w:eastAsia="en-US"/>
        </w:rPr>
        <w:t>)</w:t>
      </w:r>
      <w:r w:rsidRPr="00117FC4">
        <w:rPr>
          <w:rFonts w:eastAsia="Calibri"/>
          <w:lang w:eastAsia="en-US"/>
        </w:rPr>
        <w:t>.</w:t>
      </w:r>
    </w:p>
    <w:p w14:paraId="6DA16384" w14:textId="77777777" w:rsidR="004644C1" w:rsidRPr="00117FC4" w:rsidRDefault="004644C1" w:rsidP="0031465E">
      <w:pPr>
        <w:spacing w:before="120"/>
        <w:jc w:val="both"/>
        <w:rPr>
          <w:rFonts w:cs="Times New Roman"/>
          <w:szCs w:val="24"/>
        </w:rPr>
      </w:pPr>
      <w:r w:rsidRPr="00117FC4">
        <w:rPr>
          <w:rFonts w:cs="Times New Roman"/>
          <w:szCs w:val="24"/>
        </w:rPr>
        <w:t>Proponowane zmiany przepisów wiążą się z przedłużeniem realizacji Programu Rozwoju Obszarów Wiejskich na lata 2014–2020 (PROW 2014–2020) zgodnie z przepisami rozporządzenia Parlamentu Europejskiego i Rady (UE) 2020/2220 z dnia 23 grudnia 2020 r. ustanawiającego niektóre przepisy przejściowe dotyczące wsparcia z Europejskiego Funduszu Rolnego na rzecz Rozwoju Obszarów Wiejskich (EFRROW) i z Europejskiego Funduszu Rolniczego Gwarancji (EFRG) w latach 2021 i 2022 oraz zmieniającego rozporządzenia (UE) nr 1305/2013, (UE) nr 1306/2013 i (UE) nr 1307/2013 w odniesieniu do zasobów i stosowania w latach 2021 i 2022 oraz rozporządzenie (UE) nr 1308/2013 w odniesieniu do zasobów i</w:t>
      </w:r>
      <w:r w:rsidR="009425DE">
        <w:rPr>
          <w:rFonts w:cs="Times New Roman"/>
          <w:szCs w:val="24"/>
        </w:rPr>
        <w:t> </w:t>
      </w:r>
      <w:r w:rsidRPr="00117FC4">
        <w:rPr>
          <w:rFonts w:cs="Times New Roman"/>
          <w:szCs w:val="24"/>
        </w:rPr>
        <w:t xml:space="preserve"> rozdziału takiego wsparcia na lata 2021 i 2022 (Dz. Urz. L 437 z 28.12.2020, str. 1), zwanego dalej „rozporządzeniem przejściowym”.</w:t>
      </w:r>
    </w:p>
    <w:p w14:paraId="6373A4B4" w14:textId="77777777" w:rsidR="004644C1" w:rsidRPr="00117FC4" w:rsidRDefault="004644C1" w:rsidP="0031465E">
      <w:pPr>
        <w:spacing w:before="120"/>
        <w:jc w:val="both"/>
        <w:rPr>
          <w:rFonts w:cs="Times New Roman"/>
          <w:szCs w:val="24"/>
        </w:rPr>
      </w:pPr>
      <w:r w:rsidRPr="00117FC4">
        <w:rPr>
          <w:szCs w:val="24"/>
        </w:rPr>
        <w:t>Procedura ustawodawcza odnosząca się do wniosków ustawodawczych Komisji Europejskiej dotyczących Wspólnej Polityki Rolnej po 2020 r. nie została zakończona w terminie umożliwiającym państwom członkowskim i Komisji przygotowanie wszystkich elementów niezbędnych do stosowania nowych ram prawnych i planów strategicznych WPR od dnia 1</w:t>
      </w:r>
      <w:r w:rsidR="009425DE">
        <w:rPr>
          <w:szCs w:val="24"/>
        </w:rPr>
        <w:t> </w:t>
      </w:r>
      <w:r w:rsidRPr="00117FC4">
        <w:rPr>
          <w:szCs w:val="24"/>
        </w:rPr>
        <w:t xml:space="preserve"> stycznia 2021 r., jak początkowo proponowała Komisja. To opóźnienie stworzyło </w:t>
      </w:r>
      <w:r w:rsidRPr="00117FC4">
        <w:rPr>
          <w:szCs w:val="24"/>
        </w:rPr>
        <w:lastRenderedPageBreak/>
        <w:t>niepewność i ryzyko dla unijnych rolników oraz dla całego sektora rolnego Unii. Aby</w:t>
      </w:r>
      <w:r w:rsidR="009425DE">
        <w:rPr>
          <w:szCs w:val="24"/>
        </w:rPr>
        <w:t> </w:t>
      </w:r>
      <w:r w:rsidRPr="00117FC4">
        <w:rPr>
          <w:szCs w:val="24"/>
        </w:rPr>
        <w:t xml:space="preserve"> zmniejszyć tę niepewność oraz utrzymać witalność obszarów i regionów wiejskich, a</w:t>
      </w:r>
      <w:r w:rsidR="009425DE">
        <w:rPr>
          <w:szCs w:val="24"/>
        </w:rPr>
        <w:t> </w:t>
      </w:r>
      <w:r w:rsidRPr="00117FC4">
        <w:rPr>
          <w:szCs w:val="24"/>
        </w:rPr>
        <w:t xml:space="preserve"> także aby przyczynić się do zrównoważenia środowiskowego, rozporządzeniem przejściowym zapewniono dalsze stosowanie przepisów obecnych ram WPR obejmujących okres 2014–2020, zwanych dalej „obecnymi ramami WPR”, oraz nieprzerwane dokonywanie płatności na rzecz rolników i innych beneficjentów, a tym samym zapewniono przewidywalność i stabilność w okresie przejściowym w latach 2021 i 2022, zwanym dalej „okresem przejściowym”, do dnia rozpoczęcia stosowania nowych ram prawnych obejmujących okres rozpoczynający się w dniu 1 stycznia 2023 r., zwanych dalej „nowymi ramami prawnymi”.</w:t>
      </w:r>
    </w:p>
    <w:p w14:paraId="66828101" w14:textId="77777777" w:rsidR="004644C1" w:rsidRPr="00117FC4" w:rsidRDefault="004644C1" w:rsidP="0031465E">
      <w:pPr>
        <w:spacing w:before="120"/>
        <w:jc w:val="both"/>
        <w:rPr>
          <w:szCs w:val="24"/>
        </w:rPr>
      </w:pPr>
      <w:r w:rsidRPr="00117FC4">
        <w:rPr>
          <w:szCs w:val="24"/>
        </w:rPr>
        <w:t>Zgodnie z przepisami rozporządzenia przejściowego:</w:t>
      </w:r>
    </w:p>
    <w:p w14:paraId="379BE79E" w14:textId="77777777" w:rsidR="004644C1" w:rsidRPr="00117FC4" w:rsidRDefault="004644C1" w:rsidP="004644C1">
      <w:pPr>
        <w:pStyle w:val="Akapitzlist"/>
        <w:numPr>
          <w:ilvl w:val="0"/>
          <w:numId w:val="15"/>
        </w:numPr>
        <w:ind w:left="357" w:hanging="357"/>
        <w:jc w:val="both"/>
        <w:rPr>
          <w:szCs w:val="24"/>
        </w:rPr>
      </w:pPr>
      <w:r w:rsidRPr="00117FC4">
        <w:rPr>
          <w:szCs w:val="24"/>
        </w:rPr>
        <w:t xml:space="preserve">w przypadku programów wspieranych z Europejskiego Funduszu Rolnego na rzecz Rozwoju Obszarów Wiejskich (EFRROW) okres od dnia 1 stycznia 2014 r. do dnia 31 grudnia 2020 r., określony w art. 26 ust. 1 rozporządzenia </w:t>
      </w:r>
      <w:r w:rsidRPr="00117FC4">
        <w:t>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174543">
        <w:t> </w:t>
      </w:r>
      <w:r w:rsidRPr="00117FC4">
        <w:t xml:space="preserve"> Rybackiego oraz uchylającego rozporządzenie Rady (WE) nr 1083/2006 (Dz. Urz. UE L 347 z 20.12.2013, str. 320, z późn. zm.), </w:t>
      </w:r>
      <w:r w:rsidRPr="00117FC4">
        <w:rPr>
          <w:szCs w:val="24"/>
        </w:rPr>
        <w:t>zostaje przedłużony do dnia 31 grudnia 2022 r.;</w:t>
      </w:r>
    </w:p>
    <w:p w14:paraId="73117395" w14:textId="77777777" w:rsidR="004644C1" w:rsidRPr="00117FC4" w:rsidRDefault="004644C1" w:rsidP="004644C1">
      <w:pPr>
        <w:pStyle w:val="Akapitzlist"/>
        <w:numPr>
          <w:ilvl w:val="0"/>
          <w:numId w:val="15"/>
        </w:numPr>
        <w:spacing w:before="120"/>
        <w:jc w:val="both"/>
        <w:rPr>
          <w:szCs w:val="24"/>
        </w:rPr>
      </w:pPr>
      <w:r w:rsidRPr="00117FC4">
        <w:rPr>
          <w:szCs w:val="24"/>
        </w:rPr>
        <w:t>rozporządzenie (UE) nr 1303/2013 stosuje się nadal do programów wspieranych z</w:t>
      </w:r>
      <w:r w:rsidR="00174543">
        <w:rPr>
          <w:szCs w:val="24"/>
        </w:rPr>
        <w:t> </w:t>
      </w:r>
      <w:r w:rsidRPr="00117FC4">
        <w:rPr>
          <w:szCs w:val="24"/>
        </w:rPr>
        <w:t xml:space="preserve"> EFRROW w okresie programowania 2014–2020, które zostały przedłużone;</w:t>
      </w:r>
    </w:p>
    <w:p w14:paraId="7F8C1D80" w14:textId="77777777" w:rsidR="004644C1" w:rsidRPr="00117FC4" w:rsidRDefault="004644C1" w:rsidP="004644C1">
      <w:pPr>
        <w:pStyle w:val="Akapitzlist"/>
        <w:numPr>
          <w:ilvl w:val="0"/>
          <w:numId w:val="15"/>
        </w:numPr>
        <w:spacing w:before="120"/>
        <w:jc w:val="both"/>
        <w:rPr>
          <w:szCs w:val="24"/>
        </w:rPr>
      </w:pPr>
      <w:r w:rsidRPr="00117FC4">
        <w:rPr>
          <w:szCs w:val="24"/>
        </w:rPr>
        <w:t>EFRROW może wspierać koszty budowania zdolności i działań przygotowawczych wspierających opracowywanie i przyszłą realizację strategii rozwoju lokalnego kierowanego przez społeczność na podstawie nowych ram prawnych.</w:t>
      </w:r>
    </w:p>
    <w:p w14:paraId="3D54B9CD" w14:textId="77777777" w:rsidR="004644C1" w:rsidRPr="00117FC4" w:rsidRDefault="004644C1" w:rsidP="00E01158">
      <w:pPr>
        <w:spacing w:before="120"/>
        <w:jc w:val="both"/>
        <w:rPr>
          <w:rFonts w:cs="Times New Roman"/>
        </w:rPr>
      </w:pPr>
      <w:r w:rsidRPr="00117FC4">
        <w:rPr>
          <w:rFonts w:cs="Times New Roman"/>
        </w:rPr>
        <w:t xml:space="preserve">Projektowane zmiany wiążą się zatem z zapewnieniem sprawnej realizacji PROW 2014–2020 w okresie przejściowym oraz koniecznością zapewnienia dalszej realizacji </w:t>
      </w:r>
      <w:r w:rsidRPr="00117FC4">
        <w:rPr>
          <w:rFonts w:eastAsia="Times New Roman"/>
          <w:szCs w:val="24"/>
        </w:rPr>
        <w:t>Rozwoju Lokalnego Kierowanego przez Społeczność (RLKS)</w:t>
      </w:r>
      <w:r w:rsidR="00535F16" w:rsidRPr="00117FC4">
        <w:rPr>
          <w:rFonts w:eastAsia="Times New Roman"/>
          <w:szCs w:val="24"/>
        </w:rPr>
        <w:t xml:space="preserve"> i mają na celu ułatwienie beneficjentom realizacji operacji w ramach PROW 2014</w:t>
      </w:r>
      <w:r w:rsidR="00F73DB2">
        <w:rPr>
          <w:rFonts w:eastAsia="Times New Roman"/>
          <w:szCs w:val="24"/>
        </w:rPr>
        <w:t>–</w:t>
      </w:r>
      <w:r w:rsidR="00535F16" w:rsidRPr="00117FC4">
        <w:rPr>
          <w:rFonts w:eastAsia="Times New Roman"/>
          <w:szCs w:val="24"/>
        </w:rPr>
        <w:t>2020</w:t>
      </w:r>
      <w:r w:rsidR="000A3BF4" w:rsidRPr="00117FC4">
        <w:rPr>
          <w:rFonts w:eastAsia="Times New Roman"/>
          <w:szCs w:val="24"/>
        </w:rPr>
        <w:t xml:space="preserve"> w okresie przejściowym</w:t>
      </w:r>
      <w:r w:rsidRPr="00117FC4">
        <w:rPr>
          <w:rFonts w:eastAsia="Times New Roman"/>
          <w:szCs w:val="24"/>
        </w:rPr>
        <w:t>.</w:t>
      </w:r>
    </w:p>
    <w:p w14:paraId="7668C283" w14:textId="77777777" w:rsidR="008B0397" w:rsidRPr="00117FC4" w:rsidRDefault="008B0397" w:rsidP="00E01158">
      <w:pPr>
        <w:spacing w:before="120"/>
        <w:jc w:val="both"/>
        <w:rPr>
          <w:rFonts w:cs="Times New Roman"/>
          <w:b/>
        </w:rPr>
      </w:pPr>
      <w:r w:rsidRPr="00117FC4">
        <w:rPr>
          <w:rFonts w:cs="Times New Roman"/>
          <w:b/>
        </w:rPr>
        <w:t xml:space="preserve">Zmiana w ustawie </w:t>
      </w:r>
      <w:r w:rsidRPr="00117FC4">
        <w:rPr>
          <w:b/>
          <w:bCs/>
          <w:szCs w:val="24"/>
        </w:rPr>
        <w:t xml:space="preserve">– </w:t>
      </w:r>
      <w:r w:rsidRPr="00117FC4">
        <w:rPr>
          <w:rFonts w:cs="Times New Roman"/>
          <w:b/>
        </w:rPr>
        <w:t>Prawo budowlane</w:t>
      </w:r>
    </w:p>
    <w:p w14:paraId="2BFB2203" w14:textId="51787B47" w:rsidR="00502DDB" w:rsidRDefault="004644C1" w:rsidP="00E01158">
      <w:pPr>
        <w:spacing w:before="120"/>
        <w:jc w:val="both"/>
        <w:rPr>
          <w:rFonts w:cs="Times New Roman"/>
          <w:szCs w:val="24"/>
        </w:rPr>
      </w:pPr>
      <w:r w:rsidRPr="00117FC4">
        <w:rPr>
          <w:rFonts w:cs="Times New Roman"/>
        </w:rPr>
        <w:t xml:space="preserve">W art. 1 zaproponowano </w:t>
      </w:r>
      <w:r w:rsidR="008B0397" w:rsidRPr="00117FC4">
        <w:rPr>
          <w:rFonts w:cs="Times New Roman"/>
        </w:rPr>
        <w:t xml:space="preserve">zmianę </w:t>
      </w:r>
      <w:r w:rsidRPr="00117FC4">
        <w:rPr>
          <w:rFonts w:cs="Times New Roman"/>
        </w:rPr>
        <w:t>w ustawie z dnia 7 lipca 1994 r.</w:t>
      </w:r>
      <w:r w:rsidRPr="00117FC4">
        <w:rPr>
          <w:bCs/>
          <w:szCs w:val="24"/>
        </w:rPr>
        <w:t xml:space="preserve"> – </w:t>
      </w:r>
      <w:r w:rsidRPr="00117FC4">
        <w:rPr>
          <w:rFonts w:cs="Times New Roman"/>
        </w:rPr>
        <w:t xml:space="preserve">Prawo budowlane (Dz. U. </w:t>
      </w:r>
      <w:r w:rsidRPr="00117FC4">
        <w:rPr>
          <w:rFonts w:cs="Times New Roman"/>
        </w:rPr>
        <w:lastRenderedPageBreak/>
        <w:t>z 2020 r. poz. 1333, 2127 i 2320 oraz z 2021 r. poz. 11, 234</w:t>
      </w:r>
      <w:r w:rsidR="00F73DB2">
        <w:rPr>
          <w:rFonts w:cs="Times New Roman"/>
        </w:rPr>
        <w:t>,</w:t>
      </w:r>
      <w:r w:rsidRPr="00117FC4">
        <w:rPr>
          <w:rFonts w:cs="Times New Roman"/>
        </w:rPr>
        <w:t xml:space="preserve"> 282</w:t>
      </w:r>
      <w:r w:rsidR="00F73DB2">
        <w:rPr>
          <w:rFonts w:cs="Times New Roman"/>
        </w:rPr>
        <w:t xml:space="preserve"> i 784</w:t>
      </w:r>
      <w:r w:rsidRPr="00117FC4">
        <w:rPr>
          <w:rFonts w:cs="Times New Roman"/>
        </w:rPr>
        <w:t xml:space="preserve">) </w:t>
      </w:r>
      <w:r w:rsidRPr="00117FC4">
        <w:rPr>
          <w:rFonts w:cs="Times New Roman"/>
          <w:szCs w:val="24"/>
        </w:rPr>
        <w:t>polegające na</w:t>
      </w:r>
      <w:r w:rsidR="00F73DB2">
        <w:rPr>
          <w:rFonts w:cs="Times New Roman"/>
          <w:szCs w:val="24"/>
        </w:rPr>
        <w:t> </w:t>
      </w:r>
      <w:r w:rsidRPr="00117FC4">
        <w:rPr>
          <w:rFonts w:cs="Times New Roman"/>
          <w:szCs w:val="24"/>
        </w:rPr>
        <w:t xml:space="preserve"> uproszczeniu wymogów związanych z </w:t>
      </w:r>
      <w:r w:rsidR="00826F7B" w:rsidRPr="00117FC4">
        <w:rPr>
          <w:rFonts w:cs="Times New Roman"/>
          <w:szCs w:val="24"/>
        </w:rPr>
        <w:t>budową stawów i zbiorników wodnych</w:t>
      </w:r>
      <w:r w:rsidRPr="00117FC4">
        <w:rPr>
          <w:rFonts w:cs="Times New Roman"/>
          <w:szCs w:val="24"/>
        </w:rPr>
        <w:t xml:space="preserve">. Obecnie, </w:t>
      </w:r>
      <w:r w:rsidR="00826F7B" w:rsidRPr="00117FC4">
        <w:rPr>
          <w:rFonts w:cs="Times New Roman"/>
          <w:szCs w:val="24"/>
        </w:rPr>
        <w:t xml:space="preserve">budowa </w:t>
      </w:r>
      <w:r w:rsidRPr="00117FC4">
        <w:rPr>
          <w:rFonts w:cs="Times New Roman"/>
          <w:szCs w:val="24"/>
        </w:rPr>
        <w:t xml:space="preserve">stawu </w:t>
      </w:r>
      <w:r w:rsidR="00826F7B" w:rsidRPr="00117FC4">
        <w:rPr>
          <w:rFonts w:cs="Times New Roman"/>
          <w:szCs w:val="24"/>
        </w:rPr>
        <w:t>i zbiornika wodnego</w:t>
      </w:r>
      <w:r w:rsidR="008B0397" w:rsidRPr="00117FC4">
        <w:rPr>
          <w:rFonts w:cs="Times New Roman"/>
          <w:szCs w:val="24"/>
        </w:rPr>
        <w:t xml:space="preserve"> </w:t>
      </w:r>
      <w:r w:rsidRPr="00117FC4">
        <w:rPr>
          <w:rFonts w:cs="Times New Roman"/>
          <w:szCs w:val="24"/>
        </w:rPr>
        <w:t>o powierzchni przekraczającej 1000 m</w:t>
      </w:r>
      <w:r w:rsidRPr="00117FC4">
        <w:rPr>
          <w:rFonts w:cs="Times New Roman"/>
          <w:szCs w:val="24"/>
          <w:vertAlign w:val="superscript"/>
        </w:rPr>
        <w:t>2</w:t>
      </w:r>
      <w:r w:rsidRPr="00117FC4">
        <w:rPr>
          <w:rFonts w:cs="Times New Roman"/>
          <w:szCs w:val="24"/>
        </w:rPr>
        <w:t xml:space="preserve"> wymaga uzyskania decyzji o pozwoleniu na budowę. Zgodnie z proponowaną zmianą w art. 29 ust. 1 ustawy – </w:t>
      </w:r>
      <w:r w:rsidRPr="00117FC4">
        <w:rPr>
          <w:rFonts w:cs="Times New Roman"/>
          <w:iCs/>
          <w:szCs w:val="24"/>
        </w:rPr>
        <w:t>Prawo budowlane</w:t>
      </w:r>
      <w:r w:rsidRPr="00117FC4">
        <w:rPr>
          <w:rFonts w:cs="Times New Roman"/>
          <w:szCs w:val="24"/>
        </w:rPr>
        <w:t xml:space="preserve">, stawy lub zbiorniki wodne o powierzchni przekraczającej 1000 m² i </w:t>
      </w:r>
      <w:r w:rsidR="00F73DB2">
        <w:rPr>
          <w:rFonts w:cs="Times New Roman"/>
          <w:szCs w:val="24"/>
        </w:rPr>
        <w:t> </w:t>
      </w:r>
      <w:r w:rsidRPr="00117FC4">
        <w:rPr>
          <w:rFonts w:cs="Times New Roman"/>
          <w:szCs w:val="24"/>
        </w:rPr>
        <w:t>nieprzekraczającej 5000 m² i głębokości nieprzekraczającej 3 m, położone w całości na</w:t>
      </w:r>
      <w:r w:rsidR="00F73DB2">
        <w:rPr>
          <w:rFonts w:cs="Times New Roman"/>
          <w:szCs w:val="24"/>
        </w:rPr>
        <w:t> </w:t>
      </w:r>
      <w:r w:rsidRPr="00117FC4">
        <w:rPr>
          <w:rFonts w:cs="Times New Roman"/>
          <w:szCs w:val="24"/>
        </w:rPr>
        <w:t xml:space="preserve"> gruntach rolnych, byłyby wykonywane na podstawie zgłoszenia budowy.</w:t>
      </w:r>
    </w:p>
    <w:p w14:paraId="56E0B261" w14:textId="26EAD1D0" w:rsidR="00E617D6" w:rsidRPr="00E617D6" w:rsidRDefault="00E617D6" w:rsidP="00E617D6">
      <w:pPr>
        <w:jc w:val="both"/>
        <w:rPr>
          <w:rFonts w:cs="Times New Roman"/>
          <w:szCs w:val="24"/>
        </w:rPr>
      </w:pPr>
      <w:r w:rsidRPr="00E617D6">
        <w:rPr>
          <w:rFonts w:cs="Times New Roman"/>
          <w:szCs w:val="24"/>
        </w:rPr>
        <w:t>Dzięki zastosowaniu procedury zgłoszenia budowy, właściwe organy administracji architektoniczno-budowlanej nadal będą posiadały informacje o planowanych działaniach. Dlatego też w uzasadnionych sytuacjach będą mogły skorzystać z przepisów art. 30 ust. 6 i 7 ustawy Prawo budowlane i wnieść sprzeciw lub nałożyć obowiązek uzyskania pozwolenia na wykonanie planowanego obiektu.</w:t>
      </w:r>
    </w:p>
    <w:p w14:paraId="0528067D" w14:textId="2B5C9936" w:rsidR="00E617D6" w:rsidRPr="00E617D6" w:rsidRDefault="00E617D6" w:rsidP="00E617D6">
      <w:pPr>
        <w:jc w:val="both"/>
        <w:rPr>
          <w:rFonts w:cs="Times New Roman"/>
          <w:szCs w:val="24"/>
        </w:rPr>
      </w:pPr>
      <w:r w:rsidRPr="00E617D6">
        <w:rPr>
          <w:rFonts w:cs="Times New Roman"/>
          <w:szCs w:val="24"/>
        </w:rPr>
        <w:t xml:space="preserve">Dodatkowo należy zauważyć, że stawy i zbiorniki wodne na gruntach rolnych </w:t>
      </w:r>
      <w:r w:rsidR="00BF463E">
        <w:rPr>
          <w:rFonts w:cs="Times New Roman"/>
          <w:szCs w:val="24"/>
        </w:rPr>
        <w:t>mogą być</w:t>
      </w:r>
      <w:r w:rsidRPr="00E617D6">
        <w:rPr>
          <w:rFonts w:cs="Times New Roman"/>
          <w:szCs w:val="24"/>
        </w:rPr>
        <w:t xml:space="preserve"> wykonywane bez użycia materiałów budowlanych. W tej sytuacji, na podstawie art. 3 ust. 1 ustawy Prawo budowlane nie są one obiektami budowlanymi i zgodnie z art. 1 do ich projektowania, budowy, utrzymania i rozbiórki nie stosuje się przepisów ustawy Prawo budowlane.</w:t>
      </w:r>
      <w:r w:rsidR="00BF463E">
        <w:rPr>
          <w:rFonts w:cs="Times New Roman"/>
          <w:szCs w:val="24"/>
        </w:rPr>
        <w:t xml:space="preserve"> </w:t>
      </w:r>
    </w:p>
    <w:p w14:paraId="6B8D9551" w14:textId="5C78F598" w:rsidR="00E617D6" w:rsidRPr="00E617D6" w:rsidRDefault="00E617D6" w:rsidP="00E617D6">
      <w:pPr>
        <w:jc w:val="both"/>
        <w:rPr>
          <w:rFonts w:cs="Times New Roman"/>
          <w:szCs w:val="24"/>
        </w:rPr>
      </w:pPr>
      <w:r w:rsidRPr="00E617D6">
        <w:rPr>
          <w:rFonts w:cs="Times New Roman"/>
          <w:szCs w:val="24"/>
        </w:rPr>
        <w:t>Właściwe przygotowanie stawu lub zbiornika do celów rolniczych (np. nawodnień) może nie</w:t>
      </w:r>
      <w:r w:rsidR="00BF463E">
        <w:rPr>
          <w:rFonts w:cs="Times New Roman"/>
          <w:szCs w:val="24"/>
        </w:rPr>
        <w:t>kiedy</w:t>
      </w:r>
      <w:r w:rsidRPr="00E617D6">
        <w:rPr>
          <w:rFonts w:cs="Times New Roman"/>
          <w:szCs w:val="24"/>
        </w:rPr>
        <w:t xml:space="preserve"> wymagać zastosowania materiałów budowlanych (np. do ubezpieczenia skarp)</w:t>
      </w:r>
      <w:r w:rsidR="00BF463E">
        <w:rPr>
          <w:rFonts w:cs="Times New Roman"/>
          <w:szCs w:val="24"/>
        </w:rPr>
        <w:t>. W</w:t>
      </w:r>
      <w:r w:rsidR="00D36B28">
        <w:rPr>
          <w:rFonts w:cs="Times New Roman"/>
          <w:szCs w:val="24"/>
        </w:rPr>
        <w:t> </w:t>
      </w:r>
      <w:r w:rsidR="00BF463E">
        <w:rPr>
          <w:rFonts w:cs="Times New Roman"/>
          <w:szCs w:val="24"/>
        </w:rPr>
        <w:t xml:space="preserve"> takich </w:t>
      </w:r>
      <w:r w:rsidRPr="00E617D6">
        <w:rPr>
          <w:rFonts w:cs="Times New Roman"/>
          <w:szCs w:val="24"/>
        </w:rPr>
        <w:t>przypadk</w:t>
      </w:r>
      <w:r w:rsidR="00BF463E">
        <w:rPr>
          <w:rFonts w:cs="Times New Roman"/>
          <w:szCs w:val="24"/>
        </w:rPr>
        <w:t>ach</w:t>
      </w:r>
      <w:r w:rsidRPr="00E617D6">
        <w:rPr>
          <w:rFonts w:cs="Times New Roman"/>
          <w:szCs w:val="24"/>
        </w:rPr>
        <w:t xml:space="preserve"> ustawa Prawo budowlane</w:t>
      </w:r>
      <w:r w:rsidR="00BF463E">
        <w:rPr>
          <w:rFonts w:cs="Times New Roman"/>
          <w:szCs w:val="24"/>
        </w:rPr>
        <w:t xml:space="preserve"> </w:t>
      </w:r>
      <w:r w:rsidR="00BF463E" w:rsidRPr="00E617D6">
        <w:rPr>
          <w:rFonts w:cs="Times New Roman"/>
          <w:szCs w:val="24"/>
        </w:rPr>
        <w:t>ma zastosowanie</w:t>
      </w:r>
      <w:r w:rsidRPr="00E617D6">
        <w:rPr>
          <w:rFonts w:cs="Times New Roman"/>
          <w:szCs w:val="24"/>
        </w:rPr>
        <w:t>.</w:t>
      </w:r>
      <w:r w:rsidR="00BF463E">
        <w:rPr>
          <w:rFonts w:cs="Times New Roman"/>
          <w:szCs w:val="24"/>
        </w:rPr>
        <w:t xml:space="preserve"> </w:t>
      </w:r>
      <w:r w:rsidR="00553462">
        <w:rPr>
          <w:rFonts w:cs="Times New Roman"/>
          <w:szCs w:val="24"/>
        </w:rPr>
        <w:t>Dotychczasowe doświadczenia wynikające z realizacji instrumentów wsparcia PROW 20</w:t>
      </w:r>
      <w:r w:rsidR="00D36B28">
        <w:rPr>
          <w:rFonts w:cs="Times New Roman"/>
          <w:szCs w:val="24"/>
        </w:rPr>
        <w:t>1</w:t>
      </w:r>
      <w:r w:rsidR="00553462">
        <w:rPr>
          <w:rFonts w:cs="Times New Roman"/>
          <w:szCs w:val="24"/>
        </w:rPr>
        <w:t>4</w:t>
      </w:r>
      <w:r w:rsidR="00D36B28">
        <w:rPr>
          <w:rFonts w:cs="Times New Roman"/>
          <w:szCs w:val="24"/>
        </w:rPr>
        <w:t>–</w:t>
      </w:r>
      <w:r w:rsidR="00553462">
        <w:rPr>
          <w:rFonts w:cs="Times New Roman"/>
          <w:szCs w:val="24"/>
        </w:rPr>
        <w:t xml:space="preserve">2020 w obszarze gospodarki wodnej wskazują, że zgromadzenie wymaganej dokumentacji inwestycyjnej stanowi istotną barierę dla beneficjentów, utrudniającą skorzystanie z możliwości wsparcia. </w:t>
      </w:r>
      <w:r w:rsidR="00BF463E">
        <w:rPr>
          <w:rFonts w:cs="Times New Roman"/>
          <w:szCs w:val="24"/>
        </w:rPr>
        <w:t>Dlatego proponowana zmiana ma na celu uproszczenie procedur związanych z procesem budowlanym małych stawów i zbiorników jednocześnie nie eliminując możliwości nadzoru ze</w:t>
      </w:r>
      <w:r w:rsidR="00D36B28">
        <w:rPr>
          <w:rFonts w:cs="Times New Roman"/>
          <w:szCs w:val="24"/>
        </w:rPr>
        <w:t> </w:t>
      </w:r>
      <w:r w:rsidR="00BF463E">
        <w:rPr>
          <w:rFonts w:cs="Times New Roman"/>
          <w:szCs w:val="24"/>
        </w:rPr>
        <w:t xml:space="preserve"> strony właściwego</w:t>
      </w:r>
      <w:r w:rsidR="00BF463E" w:rsidRPr="00BF463E">
        <w:rPr>
          <w:rFonts w:cs="Times New Roman"/>
          <w:szCs w:val="24"/>
        </w:rPr>
        <w:t xml:space="preserve"> organ</w:t>
      </w:r>
      <w:r w:rsidR="00BF463E">
        <w:rPr>
          <w:rFonts w:cs="Times New Roman"/>
          <w:szCs w:val="24"/>
        </w:rPr>
        <w:t>u</w:t>
      </w:r>
      <w:r w:rsidR="00BF463E" w:rsidRPr="00BF463E">
        <w:rPr>
          <w:rFonts w:cs="Times New Roman"/>
          <w:szCs w:val="24"/>
        </w:rPr>
        <w:t xml:space="preserve"> administracji architektoniczno-budowlanej</w:t>
      </w:r>
      <w:r w:rsidR="00BF463E">
        <w:rPr>
          <w:rFonts w:cs="Times New Roman"/>
          <w:szCs w:val="24"/>
        </w:rPr>
        <w:t>.</w:t>
      </w:r>
      <w:r w:rsidR="007A5AD8">
        <w:rPr>
          <w:rFonts w:cs="Times New Roman"/>
          <w:szCs w:val="24"/>
        </w:rPr>
        <w:t xml:space="preserve"> </w:t>
      </w:r>
    </w:p>
    <w:p w14:paraId="31A62F33" w14:textId="54AEFB22" w:rsidR="00E617D6" w:rsidRPr="00E617D6" w:rsidRDefault="00BF463E" w:rsidP="008324BF">
      <w:pPr>
        <w:spacing w:after="120"/>
        <w:jc w:val="both"/>
        <w:rPr>
          <w:rFonts w:cs="Times New Roman"/>
          <w:szCs w:val="24"/>
        </w:rPr>
      </w:pPr>
      <w:r>
        <w:rPr>
          <w:rFonts w:cs="Times New Roman"/>
          <w:szCs w:val="24"/>
        </w:rPr>
        <w:t>Ponadto w</w:t>
      </w:r>
      <w:r w:rsidR="00E617D6" w:rsidRPr="00E617D6">
        <w:rPr>
          <w:rFonts w:cs="Times New Roman"/>
          <w:szCs w:val="24"/>
        </w:rPr>
        <w:t>ykonanie stawów o powierzchni do 5000 m</w:t>
      </w:r>
      <w:r w:rsidR="00E617D6" w:rsidRPr="00BF463E">
        <w:rPr>
          <w:rFonts w:cs="Times New Roman"/>
          <w:szCs w:val="24"/>
          <w:vertAlign w:val="superscript"/>
        </w:rPr>
        <w:t>2</w:t>
      </w:r>
      <w:r w:rsidR="00E617D6" w:rsidRPr="00E617D6">
        <w:rPr>
          <w:rFonts w:cs="Times New Roman"/>
          <w:szCs w:val="24"/>
        </w:rPr>
        <w:t xml:space="preserve"> nadal będzie podlegało przepisom ustawy Prawo wodne m.in. w zakresie zgód wodnoprawnych.</w:t>
      </w:r>
    </w:p>
    <w:p w14:paraId="3A67332D" w14:textId="77777777" w:rsidR="00185048" w:rsidRPr="00185048" w:rsidRDefault="00185048" w:rsidP="00777C33">
      <w:pPr>
        <w:spacing w:before="120" w:after="120"/>
        <w:jc w:val="both"/>
        <w:rPr>
          <w:b/>
          <w:bCs/>
          <w:szCs w:val="24"/>
        </w:rPr>
      </w:pPr>
      <w:r w:rsidRPr="00185048">
        <w:rPr>
          <w:b/>
        </w:rPr>
        <w:t xml:space="preserve">Zmiana w ustawie o Agencji Restrukturyzacji i Modernizacji </w:t>
      </w:r>
      <w:r w:rsidRPr="00185048">
        <w:rPr>
          <w:rFonts w:cs="Times New Roman"/>
          <w:b/>
          <w:szCs w:val="24"/>
        </w:rPr>
        <w:t>Rolnictwa</w:t>
      </w:r>
    </w:p>
    <w:p w14:paraId="24232076" w14:textId="1BA9BCB6" w:rsidR="00E01158" w:rsidRDefault="00E01158" w:rsidP="00E01158">
      <w:pPr>
        <w:spacing w:before="120"/>
        <w:jc w:val="both"/>
        <w:rPr>
          <w:szCs w:val="24"/>
        </w:rPr>
      </w:pPr>
      <w:r>
        <w:rPr>
          <w:szCs w:val="24"/>
        </w:rPr>
        <w:t>Proj</w:t>
      </w:r>
      <w:r w:rsidR="00F73DB2">
        <w:rPr>
          <w:szCs w:val="24"/>
        </w:rPr>
        <w:t>ektowana ustawa wprowadza zmianę</w:t>
      </w:r>
      <w:r>
        <w:rPr>
          <w:szCs w:val="24"/>
        </w:rPr>
        <w:t xml:space="preserve"> w ustawie z dnia </w:t>
      </w:r>
      <w:r w:rsidRPr="006859CF">
        <w:rPr>
          <w:szCs w:val="24"/>
        </w:rPr>
        <w:t>9 maja 2008 r.</w:t>
      </w:r>
      <w:r>
        <w:rPr>
          <w:szCs w:val="24"/>
        </w:rPr>
        <w:t xml:space="preserve"> </w:t>
      </w:r>
      <w:r w:rsidRPr="006859CF">
        <w:rPr>
          <w:szCs w:val="24"/>
        </w:rPr>
        <w:t>o Agencji Restrukturyzacji i Modernizacji Rolnictwa</w:t>
      </w:r>
      <w:r>
        <w:rPr>
          <w:szCs w:val="24"/>
        </w:rPr>
        <w:t xml:space="preserve"> (Dz. U. z 2019 r. poz. 1505), poprzez dodanie art.</w:t>
      </w:r>
      <w:r w:rsidR="0041544D">
        <w:rPr>
          <w:szCs w:val="24"/>
        </w:rPr>
        <w:t> </w:t>
      </w:r>
      <w:r>
        <w:rPr>
          <w:szCs w:val="24"/>
        </w:rPr>
        <w:t xml:space="preserve"> 10aa wprowadzającego możliwość wymiany i doręczania korespondencji prowadzonej między Agencją a stroną postępowania za pośrednictwem systemu teleinformatycznego</w:t>
      </w:r>
      <w:r w:rsidRPr="009747D9">
        <w:rPr>
          <w:szCs w:val="24"/>
        </w:rPr>
        <w:t xml:space="preserve"> </w:t>
      </w:r>
      <w:r>
        <w:rPr>
          <w:szCs w:val="24"/>
        </w:rPr>
        <w:lastRenderedPageBreak/>
        <w:t>Agencji. Wymiana korespondencji we wskazany sposób będzie możliwa za zgodą strony i</w:t>
      </w:r>
      <w:r w:rsidR="0041544D">
        <w:rPr>
          <w:szCs w:val="24"/>
        </w:rPr>
        <w:t> </w:t>
      </w:r>
      <w:r>
        <w:rPr>
          <w:szCs w:val="24"/>
        </w:rPr>
        <w:t xml:space="preserve"> wyłącznie w</w:t>
      </w:r>
      <w:r w:rsidR="008B2A2A">
        <w:rPr>
          <w:szCs w:val="24"/>
        </w:rPr>
        <w:t> </w:t>
      </w:r>
      <w:r>
        <w:rPr>
          <w:szCs w:val="24"/>
        </w:rPr>
        <w:t xml:space="preserve"> sprawach, w których postępowanie wszczynane będzie na wniosek złożony za pomocą formularza udostępnionego na stronie internetowej Agencji po uwierzytelnieniu strony w</w:t>
      </w:r>
      <w:r w:rsidR="008B2A2A">
        <w:rPr>
          <w:szCs w:val="24"/>
        </w:rPr>
        <w:t> </w:t>
      </w:r>
      <w:r>
        <w:rPr>
          <w:szCs w:val="24"/>
        </w:rPr>
        <w:t xml:space="preserve"> systemie teleinformatycznym Agencji. </w:t>
      </w:r>
    </w:p>
    <w:p w14:paraId="72A123E8" w14:textId="77777777" w:rsidR="00E01158" w:rsidRDefault="00E01158" w:rsidP="00E01158">
      <w:pPr>
        <w:spacing w:before="120"/>
        <w:jc w:val="both"/>
        <w:rPr>
          <w:szCs w:val="24"/>
        </w:rPr>
      </w:pPr>
      <w:r w:rsidRPr="00F1170D">
        <w:rPr>
          <w:szCs w:val="24"/>
        </w:rPr>
        <w:t xml:space="preserve">W obecnym stanie prawnym </w:t>
      </w:r>
      <w:r>
        <w:rPr>
          <w:szCs w:val="24"/>
        </w:rPr>
        <w:t>składanie wniosków za pomocą formularza udostępnionego na</w:t>
      </w:r>
      <w:r w:rsidR="008B2A2A">
        <w:rPr>
          <w:szCs w:val="24"/>
        </w:rPr>
        <w:t> </w:t>
      </w:r>
      <w:r>
        <w:rPr>
          <w:szCs w:val="24"/>
        </w:rPr>
        <w:t xml:space="preserve"> stronie internetowej Agencji zostało przewidziane w </w:t>
      </w:r>
      <w:r w:rsidRPr="00F1170D">
        <w:rPr>
          <w:szCs w:val="24"/>
        </w:rPr>
        <w:t xml:space="preserve">art. 22 ust. 1 ustawy z dnia 5 lutego 2015 r. o płatnościach w ramach systemów wsparcia bezpośredniego, </w:t>
      </w:r>
      <w:r>
        <w:rPr>
          <w:szCs w:val="24"/>
        </w:rPr>
        <w:t xml:space="preserve">w zakresie </w:t>
      </w:r>
      <w:r w:rsidRPr="00F1170D">
        <w:rPr>
          <w:szCs w:val="24"/>
        </w:rPr>
        <w:t>płatności</w:t>
      </w:r>
      <w:r>
        <w:rPr>
          <w:szCs w:val="24"/>
        </w:rPr>
        <w:t xml:space="preserve"> bezpośrednich i płatności</w:t>
      </w:r>
      <w:r w:rsidRPr="00F1170D">
        <w:rPr>
          <w:szCs w:val="24"/>
        </w:rPr>
        <w:t xml:space="preserve"> niezwiązanej do tytoniu, </w:t>
      </w:r>
      <w:r>
        <w:rPr>
          <w:szCs w:val="24"/>
        </w:rPr>
        <w:t>jak również w § 1 rozporządzenia Ministra Rolnictwa i Rozwoju Wsi z</w:t>
      </w:r>
      <w:r w:rsidRPr="00D14A70">
        <w:rPr>
          <w:szCs w:val="24"/>
        </w:rPr>
        <w:t xml:space="preserve"> dnia 12 marca 2019 r.</w:t>
      </w:r>
      <w:r>
        <w:rPr>
          <w:szCs w:val="24"/>
        </w:rPr>
        <w:t xml:space="preserve"> </w:t>
      </w:r>
      <w:r w:rsidRPr="00D14A70">
        <w:rPr>
          <w:szCs w:val="24"/>
        </w:rPr>
        <w:t xml:space="preserve">w sprawie formularza wniosku o przyznanie pomocy finansowej w ramach niektórych działań i poddziałań objętych Programem Rozwoju </w:t>
      </w:r>
      <w:r>
        <w:rPr>
          <w:szCs w:val="24"/>
        </w:rPr>
        <w:t>Obszarów Wiejskich na lata 2014–</w:t>
      </w:r>
      <w:r w:rsidRPr="00D14A70">
        <w:rPr>
          <w:szCs w:val="24"/>
        </w:rPr>
        <w:t>2020</w:t>
      </w:r>
      <w:r>
        <w:rPr>
          <w:szCs w:val="24"/>
        </w:rPr>
        <w:t xml:space="preserve"> w zakresie:</w:t>
      </w:r>
    </w:p>
    <w:p w14:paraId="2AEB81B4" w14:textId="77777777" w:rsidR="00E01158" w:rsidRPr="00E01158" w:rsidRDefault="00E01158" w:rsidP="00E01158">
      <w:pPr>
        <w:pStyle w:val="Akapitzlist"/>
        <w:numPr>
          <w:ilvl w:val="0"/>
          <w:numId w:val="18"/>
        </w:numPr>
        <w:ind w:left="357" w:hanging="357"/>
        <w:jc w:val="both"/>
        <w:rPr>
          <w:szCs w:val="24"/>
        </w:rPr>
      </w:pPr>
      <w:r w:rsidRPr="00E01158">
        <w:rPr>
          <w:szCs w:val="24"/>
        </w:rPr>
        <w:t>poddziałania „Wsparcie na zalesianie i tworzenie terenów zalesionych”, w zakresie rocznej premii, o której mowa w art. 22 ust. 1 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późn. zm.),</w:t>
      </w:r>
    </w:p>
    <w:p w14:paraId="27DBAB23" w14:textId="77777777" w:rsidR="00E01158" w:rsidRDefault="00E01158" w:rsidP="00E01158">
      <w:pPr>
        <w:pStyle w:val="Akapitzlist"/>
        <w:numPr>
          <w:ilvl w:val="0"/>
          <w:numId w:val="18"/>
        </w:numPr>
        <w:ind w:left="357" w:hanging="357"/>
        <w:jc w:val="both"/>
        <w:rPr>
          <w:szCs w:val="24"/>
        </w:rPr>
      </w:pPr>
      <w:r>
        <w:rPr>
          <w:szCs w:val="24"/>
        </w:rPr>
        <w:t>działań</w:t>
      </w:r>
      <w:r w:rsidRPr="00D14A70">
        <w:rPr>
          <w:szCs w:val="24"/>
        </w:rPr>
        <w:t>:</w:t>
      </w:r>
      <w:r>
        <w:rPr>
          <w:szCs w:val="24"/>
        </w:rPr>
        <w:t xml:space="preserve"> „</w:t>
      </w:r>
      <w:r w:rsidRPr="00D14A70">
        <w:rPr>
          <w:szCs w:val="24"/>
        </w:rPr>
        <w:t>Działanie rolno-środowiskowo-klimatyczne</w:t>
      </w:r>
      <w:r>
        <w:rPr>
          <w:szCs w:val="24"/>
        </w:rPr>
        <w:t>”</w:t>
      </w:r>
      <w:r w:rsidRPr="00D14A70">
        <w:rPr>
          <w:szCs w:val="24"/>
        </w:rPr>
        <w:t>,</w:t>
      </w:r>
      <w:r>
        <w:rPr>
          <w:szCs w:val="24"/>
        </w:rPr>
        <w:t xml:space="preserve"> „</w:t>
      </w:r>
      <w:r w:rsidRPr="00D14A70">
        <w:rPr>
          <w:szCs w:val="24"/>
        </w:rPr>
        <w:t>Rolnictwo ekologiczne</w:t>
      </w:r>
      <w:r>
        <w:rPr>
          <w:szCs w:val="24"/>
        </w:rPr>
        <w:t>”</w:t>
      </w:r>
      <w:r w:rsidRPr="00D14A70">
        <w:rPr>
          <w:szCs w:val="24"/>
        </w:rPr>
        <w:t>,</w:t>
      </w:r>
      <w:r>
        <w:rPr>
          <w:szCs w:val="24"/>
        </w:rPr>
        <w:t xml:space="preserve"> „</w:t>
      </w:r>
      <w:r w:rsidRPr="00D14A70">
        <w:rPr>
          <w:szCs w:val="24"/>
        </w:rPr>
        <w:t>Płatności dla obszarów z ograniczeniami naturalnymi lub innymi szczególnymi ograniczeniami</w:t>
      </w:r>
      <w:r>
        <w:rPr>
          <w:szCs w:val="24"/>
        </w:rPr>
        <w:t>”</w:t>
      </w:r>
      <w:r w:rsidRPr="00D14A70">
        <w:rPr>
          <w:szCs w:val="24"/>
        </w:rPr>
        <w:t>,</w:t>
      </w:r>
      <w:r>
        <w:rPr>
          <w:szCs w:val="24"/>
        </w:rPr>
        <w:t xml:space="preserve"> „</w:t>
      </w:r>
      <w:r w:rsidRPr="00D14A70">
        <w:rPr>
          <w:szCs w:val="24"/>
        </w:rPr>
        <w:t>Dobrostan zwierząt</w:t>
      </w:r>
      <w:r>
        <w:rPr>
          <w:szCs w:val="24"/>
        </w:rPr>
        <w:t xml:space="preserve">”. </w:t>
      </w:r>
    </w:p>
    <w:p w14:paraId="314121E7" w14:textId="77777777" w:rsidR="00E01158" w:rsidRDefault="00E01158" w:rsidP="00E01158">
      <w:pPr>
        <w:spacing w:before="120"/>
        <w:jc w:val="both"/>
        <w:rPr>
          <w:szCs w:val="24"/>
        </w:rPr>
      </w:pPr>
      <w:r>
        <w:rPr>
          <w:szCs w:val="24"/>
        </w:rPr>
        <w:t xml:space="preserve">Ustawa z dnia </w:t>
      </w:r>
      <w:r w:rsidRPr="00F1170D">
        <w:rPr>
          <w:szCs w:val="24"/>
        </w:rPr>
        <w:t>2 kwietnia 2004 r. o systemie identyfikacji i rejestracji zwierząt</w:t>
      </w:r>
      <w:r>
        <w:rPr>
          <w:szCs w:val="24"/>
        </w:rPr>
        <w:t xml:space="preserve"> również przewiduje możliwość dokonywania zgłoszeń oraz przekazywania danych za pomocą formularza umieszczonego na stronie internetowej Agencji, w zakresie określonym w </w:t>
      </w:r>
      <w:r w:rsidRPr="001E4215">
        <w:rPr>
          <w:szCs w:val="24"/>
        </w:rPr>
        <w:t>art. 9 ust.</w:t>
      </w:r>
      <w:r w:rsidR="00F73DB2">
        <w:rPr>
          <w:szCs w:val="24"/>
        </w:rPr>
        <w:t> </w:t>
      </w:r>
      <w:r w:rsidRPr="001E4215">
        <w:rPr>
          <w:szCs w:val="24"/>
        </w:rPr>
        <w:t xml:space="preserve"> 2 pkt 2 lit. b, art. 12 ust. 7 pkt 2 lit. b, art. 18 ust. 5 pkt 2 lit. b, art. 19 ust. 1a pkt 2 lit. b, art. 20 ust. 4 pkt 2 lit. b oraz art. 20a ust. 3 pkt 2 lit. b</w:t>
      </w:r>
      <w:r>
        <w:rPr>
          <w:szCs w:val="24"/>
        </w:rPr>
        <w:t xml:space="preserve"> tej ustawy. </w:t>
      </w:r>
    </w:p>
    <w:p w14:paraId="2ABE59A2" w14:textId="77777777" w:rsidR="00E01158" w:rsidRPr="00E01158" w:rsidRDefault="00E01158" w:rsidP="00E01158">
      <w:pPr>
        <w:spacing w:before="120"/>
        <w:jc w:val="both"/>
        <w:rPr>
          <w:szCs w:val="24"/>
        </w:rPr>
      </w:pPr>
      <w:r w:rsidRPr="00F1170D">
        <w:rPr>
          <w:szCs w:val="24"/>
        </w:rPr>
        <w:t>Na podstawie wskazanych powyżej przepisów</w:t>
      </w:r>
      <w:r>
        <w:rPr>
          <w:szCs w:val="24"/>
        </w:rPr>
        <w:t>,</w:t>
      </w:r>
      <w:r w:rsidRPr="00F1170D">
        <w:rPr>
          <w:szCs w:val="24"/>
        </w:rPr>
        <w:t xml:space="preserve"> mimo że wnioski są składane w formie elektronicznej za pomocą formularza umieszczonego na stronie internetowej Agencji, wymiana </w:t>
      </w:r>
      <w:r w:rsidRPr="00E01158">
        <w:rPr>
          <w:szCs w:val="24"/>
        </w:rPr>
        <w:t>korespondencji oraz doręczenia w dalszym ciągu odbywają się w formie papierowej.</w:t>
      </w:r>
    </w:p>
    <w:p w14:paraId="638176F6" w14:textId="77777777" w:rsidR="00E01158" w:rsidRPr="00E01158" w:rsidRDefault="00E01158" w:rsidP="00E01158">
      <w:pPr>
        <w:spacing w:before="120"/>
        <w:jc w:val="both"/>
        <w:rPr>
          <w:rStyle w:val="Ppogrubienie"/>
          <w:b w:val="0"/>
        </w:rPr>
      </w:pPr>
      <w:r w:rsidRPr="00E01158">
        <w:rPr>
          <w:rStyle w:val="Ppogrubienie"/>
          <w:b w:val="0"/>
        </w:rPr>
        <w:t>Ponadto, trwają prace legislacyjne nad projektem rozporządzenia Ministra Rolnictwa i</w:t>
      </w:r>
      <w:r w:rsidR="006E37E5">
        <w:rPr>
          <w:rStyle w:val="Ppogrubienie"/>
          <w:b w:val="0"/>
        </w:rPr>
        <w:t> </w:t>
      </w:r>
      <w:r w:rsidRPr="00E01158">
        <w:rPr>
          <w:rStyle w:val="Ppogrubienie"/>
          <w:b w:val="0"/>
        </w:rPr>
        <w:t xml:space="preserve"> Rozwoju Wsi w sprawie formularza wniosku o płatność w ramach niektórych działań </w:t>
      </w:r>
      <w:r>
        <w:rPr>
          <w:rStyle w:val="Ppogrubienie"/>
          <w:b w:val="0"/>
        </w:rPr>
        <w:br/>
      </w:r>
      <w:r w:rsidRPr="00E01158">
        <w:rPr>
          <w:rStyle w:val="Ppogrubienie"/>
          <w:b w:val="0"/>
        </w:rPr>
        <w:t>i poddziałań objętych Programem Rozwoju Obszarów Wiejskich na lata 2014–2020 (projekt skierowany został do konsultacji publicznych oraz uzgodnień międzyresortowych, nr</w:t>
      </w:r>
      <w:r w:rsidR="00F73DB2">
        <w:rPr>
          <w:rStyle w:val="Ppogrubienie"/>
          <w:b w:val="0"/>
        </w:rPr>
        <w:t> </w:t>
      </w:r>
      <w:r w:rsidRPr="00E01158">
        <w:rPr>
          <w:rStyle w:val="Ppogrubienie"/>
          <w:b w:val="0"/>
        </w:rPr>
        <w:t xml:space="preserve"> w</w:t>
      </w:r>
      <w:r w:rsidR="00F73DB2">
        <w:rPr>
          <w:rStyle w:val="Ppogrubienie"/>
          <w:b w:val="0"/>
        </w:rPr>
        <w:t> </w:t>
      </w:r>
      <w:r w:rsidRPr="00E01158">
        <w:rPr>
          <w:rStyle w:val="Ppogrubienie"/>
          <w:b w:val="0"/>
        </w:rPr>
        <w:t xml:space="preserve"> wykazie prac legislacyjnych Ministra Rolnictwa i Rozwoju Wsi: 208), który przewiduje </w:t>
      </w:r>
      <w:r w:rsidRPr="00E01158">
        <w:rPr>
          <w:rStyle w:val="Ppogrubienie"/>
          <w:b w:val="0"/>
        </w:rPr>
        <w:lastRenderedPageBreak/>
        <w:t>wdrożenie systemu elektronicznych formularzy wniosków o płatność w ramach 8 poddziałań: „Wsparcie inwestycji w gospodarstwach rolnych</w:t>
      </w:r>
      <w:r w:rsidR="00F73DB2">
        <w:rPr>
          <w:rStyle w:val="Ppogrubienie"/>
          <w:b w:val="0"/>
        </w:rPr>
        <w:t>”</w:t>
      </w:r>
      <w:r w:rsidRPr="00E01158">
        <w:rPr>
          <w:rStyle w:val="Ppogrubienie"/>
          <w:b w:val="0"/>
        </w:rPr>
        <w:t>, „Wsparcie inwestycji w przetwarzanie produktów rolnych, obrót nimi lub ich rozwój”, „Wsparcie inwestycji w środki zapobiegawcze, których celem jest ograniczenie skutków prawdopodobnych klęsk żywiołowych, niekorzystnych zjawisk klimatycznych i katastrof”, „Wsparcie inwestycji w odtwarzanie gruntów rolnych i przywracanie potencjału produkcji rolnej zniszczonego w wyniku klęsk żywiołowych, niekorzystnych zjawisk klimatycznych i katastrof”, „Pomoc na rozpoczęcie działalności gospodarczej na rzecz młodych rolników”, „Pomoc na rozpoczęcie pozarolniczej działalności gospodarczej na obszarach wiejskich, „Pomoc na rozpoczęcie działalności gospodarczej na rzecz rozwoju małych gospodarstw”, „Wsparcie inwestycji w tworzenie i</w:t>
      </w:r>
      <w:r w:rsidR="00F73DB2">
        <w:rPr>
          <w:rStyle w:val="Ppogrubienie"/>
          <w:b w:val="0"/>
        </w:rPr>
        <w:t> </w:t>
      </w:r>
      <w:r w:rsidRPr="00E01158">
        <w:rPr>
          <w:rStyle w:val="Ppogrubienie"/>
          <w:b w:val="0"/>
        </w:rPr>
        <w:t xml:space="preserve"> rozwój działalności pozarolniczej”.</w:t>
      </w:r>
    </w:p>
    <w:p w14:paraId="78BDB6C5" w14:textId="77777777" w:rsidR="00E01158" w:rsidRDefault="00E01158" w:rsidP="00E01158">
      <w:pPr>
        <w:spacing w:before="120"/>
        <w:jc w:val="both"/>
        <w:rPr>
          <w:szCs w:val="24"/>
        </w:rPr>
      </w:pPr>
      <w:r>
        <w:rPr>
          <w:szCs w:val="24"/>
        </w:rPr>
        <w:t xml:space="preserve">Ustawa </w:t>
      </w:r>
      <w:r w:rsidRPr="00F1170D">
        <w:rPr>
          <w:szCs w:val="24"/>
        </w:rPr>
        <w:t>z dnia 18 listopada 2020 r. o doręczeniach elektronicznych</w:t>
      </w:r>
      <w:r>
        <w:rPr>
          <w:szCs w:val="24"/>
        </w:rPr>
        <w:t xml:space="preserve"> (Dz. U. poz. 2320 oraz z</w:t>
      </w:r>
      <w:r w:rsidR="00F73DB2">
        <w:rPr>
          <w:szCs w:val="24"/>
        </w:rPr>
        <w:t> </w:t>
      </w:r>
      <w:r>
        <w:rPr>
          <w:szCs w:val="24"/>
        </w:rPr>
        <w:t xml:space="preserve"> 2021 r. poz. 72</w:t>
      </w:r>
      <w:r w:rsidR="00F73DB2">
        <w:rPr>
          <w:szCs w:val="24"/>
        </w:rPr>
        <w:t xml:space="preserve"> i 802</w:t>
      </w:r>
      <w:r>
        <w:rPr>
          <w:szCs w:val="24"/>
        </w:rPr>
        <w:t>) wprowadza nowe zasady doręczeń elektronicznych, które na podstawie art. 4 i 5 tej ustawy</w:t>
      </w:r>
      <w:r w:rsidRPr="00F1170D">
        <w:rPr>
          <w:szCs w:val="24"/>
        </w:rPr>
        <w:t xml:space="preserve"> </w:t>
      </w:r>
      <w:r>
        <w:rPr>
          <w:szCs w:val="24"/>
        </w:rPr>
        <w:t xml:space="preserve">mają być realizowane z wykorzystaniem </w:t>
      </w:r>
      <w:r w:rsidRPr="00A3728A">
        <w:rPr>
          <w:szCs w:val="24"/>
        </w:rPr>
        <w:t>publicznej usługi rejestrowanego doręczenia elektronicznego na adres do doręczeń elektronicznych wpisany do bazy adresów elektronicznych</w:t>
      </w:r>
      <w:r>
        <w:rPr>
          <w:szCs w:val="24"/>
        </w:rPr>
        <w:t xml:space="preserve"> albo w określonych przypadkach z wykorzystaniem </w:t>
      </w:r>
      <w:r w:rsidRPr="00A3728A">
        <w:rPr>
          <w:szCs w:val="24"/>
        </w:rPr>
        <w:t>publicznej usługi hybrydowej</w:t>
      </w:r>
      <w:r>
        <w:rPr>
          <w:szCs w:val="24"/>
        </w:rPr>
        <w:t>. W zakresie postępowań administracyjnych, po wejściu w życie ustawy o</w:t>
      </w:r>
      <w:r w:rsidR="00F73DB2">
        <w:rPr>
          <w:szCs w:val="24"/>
        </w:rPr>
        <w:t> </w:t>
      </w:r>
      <w:r>
        <w:rPr>
          <w:szCs w:val="24"/>
        </w:rPr>
        <w:t xml:space="preserve"> doręczeniach elektronicznych, również będą obowiązywały zasady doręczeń z</w:t>
      </w:r>
      <w:r w:rsidR="00F73DB2">
        <w:rPr>
          <w:szCs w:val="24"/>
        </w:rPr>
        <w:t> </w:t>
      </w:r>
      <w:r>
        <w:rPr>
          <w:szCs w:val="24"/>
        </w:rPr>
        <w:t xml:space="preserve"> wykorzystaniem wskazanych powyżej usług. </w:t>
      </w:r>
    </w:p>
    <w:p w14:paraId="2119A9FD" w14:textId="77777777" w:rsidR="00E01158" w:rsidRDefault="00E01158" w:rsidP="00E01158">
      <w:pPr>
        <w:spacing w:before="120"/>
        <w:jc w:val="both"/>
        <w:rPr>
          <w:szCs w:val="24"/>
        </w:rPr>
      </w:pPr>
      <w:r>
        <w:rPr>
          <w:szCs w:val="24"/>
        </w:rPr>
        <w:t xml:space="preserve">Mając na uwadze wdrożone oraz procedowane regulacje prawne dotyczące składania wniosków za pomocą formularza umieszczonego na stronie internetowej Agencji oraz regulacje wynikające z ustawy o doręczeniach elektronicznych, w zakresie w jakim dotyczą one elektronicznej wymiany korespondencji oraz doręczeń za pomocą adresu elektronicznego, niezbędnym jest uzupełnienie istniejących rozwiązań prawnych poprzez ich dostosowanie do </w:t>
      </w:r>
      <w:r w:rsidR="00D229BB">
        <w:rPr>
          <w:szCs w:val="24"/>
        </w:rPr>
        <w:t> </w:t>
      </w:r>
      <w:r>
        <w:rPr>
          <w:szCs w:val="24"/>
        </w:rPr>
        <w:t>przedstawionych powyżej zasad składania wniosków za pomocą formularza udostępnionego na stronie internetowej Agencji.</w:t>
      </w:r>
    </w:p>
    <w:p w14:paraId="709B23A7" w14:textId="77777777" w:rsidR="00E01158" w:rsidRDefault="00E01158" w:rsidP="00E01158">
      <w:pPr>
        <w:spacing w:before="120"/>
        <w:jc w:val="both"/>
        <w:rPr>
          <w:szCs w:val="24"/>
        </w:rPr>
      </w:pPr>
      <w:r>
        <w:rPr>
          <w:szCs w:val="24"/>
        </w:rPr>
        <w:t xml:space="preserve">Projekt przewiduje, że w przypadku, gdy postępowanie administracyjne lub inne postępowanie jest wszczynane na wniosek </w:t>
      </w:r>
      <w:r w:rsidRPr="008E69A3">
        <w:rPr>
          <w:szCs w:val="24"/>
        </w:rPr>
        <w:t>złożony za pomocą formularza udostępnionego na stronie internetowej Agencji</w:t>
      </w:r>
      <w:r>
        <w:rPr>
          <w:szCs w:val="24"/>
        </w:rPr>
        <w:t xml:space="preserve">, będzie istniała możliwość doręczania pism, w tym obustronna wymiana korespondencji, za </w:t>
      </w:r>
      <w:r w:rsidRPr="00C05FB6">
        <w:rPr>
          <w:szCs w:val="24"/>
        </w:rPr>
        <w:t>pomocą systemu teleinformatycznego</w:t>
      </w:r>
      <w:r w:rsidRPr="00F1170D">
        <w:rPr>
          <w:szCs w:val="24"/>
        </w:rPr>
        <w:t xml:space="preserve"> Agencji</w:t>
      </w:r>
      <w:r>
        <w:rPr>
          <w:szCs w:val="24"/>
        </w:rPr>
        <w:t>, pod warunkiem że</w:t>
      </w:r>
      <w:r w:rsidR="008B2A2A">
        <w:rPr>
          <w:szCs w:val="24"/>
        </w:rPr>
        <w:t> </w:t>
      </w:r>
      <w:r>
        <w:rPr>
          <w:szCs w:val="24"/>
        </w:rPr>
        <w:t xml:space="preserve"> wnioskodawca wyrazi na to zgodę.</w:t>
      </w:r>
      <w:r w:rsidRPr="0053684E">
        <w:rPr>
          <w:szCs w:val="24"/>
        </w:rPr>
        <w:t xml:space="preserve"> </w:t>
      </w:r>
      <w:r>
        <w:rPr>
          <w:szCs w:val="24"/>
        </w:rPr>
        <w:t xml:space="preserve">Rozwiązanie to dotyczyć będzie zarówno postępowań administracyjnych, tj. postępowań, które, kończą się podjęciem rozstrzygnięcia w postaci decyzji administracyjnej (np. postępowań w sprawie o przyznanie pomocy), jak i innych </w:t>
      </w:r>
      <w:r>
        <w:rPr>
          <w:szCs w:val="24"/>
        </w:rPr>
        <w:lastRenderedPageBreak/>
        <w:t xml:space="preserve">postępowań, nieprowadzonych przez Agencję w trybie Kodeksu postępowania administracyjnego, zwanego dalej „Kpa” (np. postępowań, </w:t>
      </w:r>
      <w:r w:rsidR="00D229BB">
        <w:rPr>
          <w:szCs w:val="24"/>
        </w:rPr>
        <w:t xml:space="preserve">których </w:t>
      </w:r>
      <w:r>
        <w:rPr>
          <w:szCs w:val="24"/>
        </w:rPr>
        <w:t>przedmiotem jest rozpatrzenie wniosku o płatność i wypłata pomocy).</w:t>
      </w:r>
    </w:p>
    <w:p w14:paraId="0AB3A838" w14:textId="77777777" w:rsidR="00E01158" w:rsidRDefault="00E01158" w:rsidP="00E01158">
      <w:pPr>
        <w:spacing w:before="120"/>
        <w:jc w:val="both"/>
        <w:rPr>
          <w:szCs w:val="24"/>
        </w:rPr>
      </w:pPr>
      <w:r>
        <w:rPr>
          <w:szCs w:val="24"/>
        </w:rPr>
        <w:t xml:space="preserve">Projektowana </w:t>
      </w:r>
      <w:r w:rsidR="00D229BB">
        <w:rPr>
          <w:szCs w:val="24"/>
        </w:rPr>
        <w:t>zmiana</w:t>
      </w:r>
      <w:r>
        <w:rPr>
          <w:szCs w:val="24"/>
        </w:rPr>
        <w:t xml:space="preserve"> reguluje zasady doręczania pism w trakcie prowadzonego postępowania za pośrednictwem systemu teleinformatycznego. Wprowadzane przepisy pozwolą na prawnie skuteczne doręczenia prowadzonej korespondencji oraz na tworzenie dokumentu urzędowego potwierdzającego zarówno przedłożenie przez wnioskodawcę pisma tzw. potwierdzenie złożenia pisma, jak i potwierdzenie odbioru pisma kierowanego przez Agencję do</w:t>
      </w:r>
      <w:r w:rsidR="00D229BB">
        <w:rPr>
          <w:szCs w:val="24"/>
        </w:rPr>
        <w:t> </w:t>
      </w:r>
      <w:r>
        <w:rPr>
          <w:szCs w:val="24"/>
        </w:rPr>
        <w:t xml:space="preserve"> wnioskodawcy. W projektowanych przepisach została również uregulowana sytuacja, w</w:t>
      </w:r>
      <w:r w:rsidR="00D229BB">
        <w:rPr>
          <w:szCs w:val="24"/>
        </w:rPr>
        <w:t> </w:t>
      </w:r>
      <w:r>
        <w:rPr>
          <w:szCs w:val="24"/>
        </w:rPr>
        <w:t xml:space="preserve"> której po upływie określonego okresu otrzymaną przez stronę korespondencję będzie można uznać za skutecznie doręczoną.</w:t>
      </w:r>
    </w:p>
    <w:p w14:paraId="29492B36" w14:textId="77777777" w:rsidR="00E01158" w:rsidRDefault="00E01158" w:rsidP="00E01158">
      <w:pPr>
        <w:spacing w:before="120"/>
        <w:jc w:val="both"/>
        <w:rPr>
          <w:szCs w:val="24"/>
        </w:rPr>
      </w:pPr>
      <w:r w:rsidRPr="002975CC">
        <w:rPr>
          <w:szCs w:val="24"/>
        </w:rPr>
        <w:t xml:space="preserve">Projekt w tym zakresie przewiduje, że wraz z otrzymaniem przez stronę w systemie teleinformatycznym pisma, strona otrzyma również zawiadomienie na adres elektroniczny. </w:t>
      </w:r>
      <w:r>
        <w:rPr>
          <w:szCs w:val="24"/>
        </w:rPr>
        <w:t xml:space="preserve">Zawiadomienie ma pełnić wyłącznie funkcję informacyjną dla strony, aby uniknąć przypadków, w których strona nie będzie </w:t>
      </w:r>
      <w:r w:rsidR="00D229BB">
        <w:rPr>
          <w:szCs w:val="24"/>
        </w:rPr>
        <w:t>miała świadomości otrzymania</w:t>
      </w:r>
      <w:r>
        <w:rPr>
          <w:szCs w:val="24"/>
        </w:rPr>
        <w:t xml:space="preserve"> korespondencji. Za</w:t>
      </w:r>
      <w:r w:rsidR="00D229BB">
        <w:rPr>
          <w:szCs w:val="24"/>
        </w:rPr>
        <w:t> </w:t>
      </w:r>
      <w:r>
        <w:rPr>
          <w:szCs w:val="24"/>
        </w:rPr>
        <w:t xml:space="preserve"> przesyłkę doręczoną skutecznie mimo braku odczytania pisma przez stronę, będzie mogła zostać uznana korespondencja po upływie 14 dni liczonych od dnia otrzymania przez stronę pisma w systemie teleinformatycznym. </w:t>
      </w:r>
    </w:p>
    <w:p w14:paraId="770B794D" w14:textId="2293664B" w:rsidR="00E01158" w:rsidRDefault="00E01158" w:rsidP="00E01158">
      <w:pPr>
        <w:spacing w:before="120"/>
        <w:jc w:val="both"/>
        <w:rPr>
          <w:szCs w:val="24"/>
        </w:rPr>
      </w:pPr>
      <w:r>
        <w:rPr>
          <w:szCs w:val="24"/>
        </w:rPr>
        <w:t>Złożenie wniosku za pomocą formularza udostępnionego na stronie internetowej Agencji poprzedzone jest uwierzytelnieniem podmiotu wnioskującego w systemie teleinformatycznym Agencji, w związku z tym projektowany art. 10aa us</w:t>
      </w:r>
      <w:r w:rsidR="00D229BB">
        <w:rPr>
          <w:szCs w:val="24"/>
        </w:rPr>
        <w:t xml:space="preserve">t. </w:t>
      </w:r>
      <w:r w:rsidR="004B1596">
        <w:rPr>
          <w:szCs w:val="24"/>
        </w:rPr>
        <w:t xml:space="preserve">4 </w:t>
      </w:r>
      <w:r w:rsidR="00D229BB">
        <w:rPr>
          <w:szCs w:val="24"/>
        </w:rPr>
        <w:t>przewiduje, że w przypadku</w:t>
      </w:r>
      <w:r>
        <w:rPr>
          <w:szCs w:val="24"/>
        </w:rPr>
        <w:t xml:space="preserve"> gdy wnioskodawca ustanowi pełnomocnika, wymiana korespondencji będzie odbywała się na</w:t>
      </w:r>
      <w:r w:rsidR="00D229BB">
        <w:rPr>
          <w:szCs w:val="24"/>
        </w:rPr>
        <w:t> </w:t>
      </w:r>
      <w:r>
        <w:rPr>
          <w:szCs w:val="24"/>
        </w:rPr>
        <w:t xml:space="preserve"> zasadach ogólnych przewidzianych w Kpa. W przypadku, w którym strona wyraziła zgodę na doręczanie oraz wymianę korespondencji za pośrednictwem systemu teleinformatycznego Agencji, a następnie w toku prowadzonego postępowania ustanowi pełnomocnika, wymiana korespondencji oraz doręczanie pism będzie odbywało się na zasadach ogólnych przewidzianych w Kpa.</w:t>
      </w:r>
    </w:p>
    <w:p w14:paraId="0E397224" w14:textId="77777777" w:rsidR="00E01158" w:rsidRDefault="00E01158" w:rsidP="00E01158">
      <w:pPr>
        <w:spacing w:before="120"/>
        <w:jc w:val="both"/>
        <w:rPr>
          <w:szCs w:val="24"/>
        </w:rPr>
      </w:pPr>
      <w:r>
        <w:rPr>
          <w:szCs w:val="24"/>
        </w:rPr>
        <w:t>Projektowane przepisy zawierają również delegację ustawową dającą możliwość ministrowi właściwemu do spraw rozwoju wsi określenia szczegółowych wymagań w zakresie wymiany korespondencji w toku postępowania, którego dotyczy wyrażona przez stronę zgoda złożona przy składaniu wniosku do Agencji za pośrednictwem systemu teleinformatycznego.</w:t>
      </w:r>
    </w:p>
    <w:p w14:paraId="4CDC8999" w14:textId="77777777" w:rsidR="00E01158" w:rsidRDefault="00E01158" w:rsidP="00E01158">
      <w:pPr>
        <w:spacing w:before="120"/>
        <w:jc w:val="both"/>
        <w:rPr>
          <w:szCs w:val="24"/>
        </w:rPr>
      </w:pPr>
      <w:r>
        <w:rPr>
          <w:szCs w:val="24"/>
        </w:rPr>
        <w:t xml:space="preserve">Wymiana korespondencji polegająca na doręczeniach realizowanych za pośrednictwem </w:t>
      </w:r>
      <w:r>
        <w:rPr>
          <w:szCs w:val="24"/>
        </w:rPr>
        <w:lastRenderedPageBreak/>
        <w:t>sy</w:t>
      </w:r>
      <w:r w:rsidR="00D229BB">
        <w:rPr>
          <w:szCs w:val="24"/>
        </w:rPr>
        <w:t>stemu teleinformatycznego ARiMR</w:t>
      </w:r>
      <w:r>
        <w:rPr>
          <w:szCs w:val="24"/>
        </w:rPr>
        <w:t xml:space="preserve">, pozwoli przede wszystkim na przyśpieszenie doręczeń oraz wymiany korespondencji w ramach prowadzonych przez Agencję postępowań i przyczyni się do obniżenia kosztów obsługi Agencji w zakresie prowadzonej ze stronami korespondencji. </w:t>
      </w:r>
    </w:p>
    <w:p w14:paraId="4397871A" w14:textId="77777777" w:rsidR="00E01158" w:rsidRPr="00E60325" w:rsidRDefault="00E01158" w:rsidP="00E01158">
      <w:pPr>
        <w:spacing w:before="120"/>
        <w:jc w:val="both"/>
        <w:rPr>
          <w:szCs w:val="24"/>
        </w:rPr>
      </w:pPr>
      <w:r w:rsidRPr="00E60325">
        <w:rPr>
          <w:szCs w:val="24"/>
        </w:rPr>
        <w:t xml:space="preserve">Realizowanie wymiany korespondencji i doręczeń w sposób </w:t>
      </w:r>
      <w:r>
        <w:rPr>
          <w:szCs w:val="24"/>
        </w:rPr>
        <w:t>proponowany</w:t>
      </w:r>
      <w:r w:rsidRPr="00E60325">
        <w:rPr>
          <w:szCs w:val="24"/>
        </w:rPr>
        <w:t xml:space="preserve"> w </w:t>
      </w:r>
      <w:r w:rsidR="00FD501A">
        <w:rPr>
          <w:szCs w:val="24"/>
        </w:rPr>
        <w:t xml:space="preserve">ustawie </w:t>
      </w:r>
      <w:r w:rsidR="00FD501A" w:rsidRPr="006859CF">
        <w:rPr>
          <w:szCs w:val="24"/>
        </w:rPr>
        <w:t>o Agencji Restrukturyzacji i Modernizacji Rolnictwa</w:t>
      </w:r>
      <w:r w:rsidR="00FD501A" w:rsidRPr="00E60325">
        <w:rPr>
          <w:szCs w:val="24"/>
        </w:rPr>
        <w:t xml:space="preserve"> </w:t>
      </w:r>
      <w:r w:rsidRPr="00E60325">
        <w:rPr>
          <w:szCs w:val="24"/>
        </w:rPr>
        <w:t>zapewni dostęp do niezbędnych informacji w</w:t>
      </w:r>
      <w:r w:rsidR="00D229BB">
        <w:rPr>
          <w:szCs w:val="24"/>
        </w:rPr>
        <w:t> </w:t>
      </w:r>
      <w:r w:rsidRPr="00E60325">
        <w:rPr>
          <w:szCs w:val="24"/>
        </w:rPr>
        <w:t xml:space="preserve"> ramach jednego punktu dostępu. Kolejnym usprawnieniem, na które pozwoli nowa regulacja jest odmiejscowienie procesu doręczania poprzez umożliwienie wysyłania i odbierania korespondencji z dowolnego miejsca przy jednoczesnym braku konieczności wizyt bezpośrednio w placówkach terenowych Agencji lub operatora wyznaczonego do świadczenia usług pocztowych.</w:t>
      </w:r>
    </w:p>
    <w:p w14:paraId="2726C617" w14:textId="77777777" w:rsidR="008B0397" w:rsidRPr="00117FC4" w:rsidRDefault="008B0397" w:rsidP="00777C33">
      <w:pPr>
        <w:spacing w:before="120" w:after="120"/>
        <w:jc w:val="both"/>
        <w:rPr>
          <w:rFonts w:cs="Times New Roman"/>
          <w:b/>
          <w:bCs/>
          <w:szCs w:val="24"/>
        </w:rPr>
      </w:pPr>
      <w:r w:rsidRPr="00117FC4">
        <w:rPr>
          <w:b/>
          <w:bCs/>
          <w:szCs w:val="24"/>
        </w:rPr>
        <w:t>Zmiana w ustawie –</w:t>
      </w:r>
      <w:r w:rsidRPr="00117FC4">
        <w:rPr>
          <w:rFonts w:cs="Times New Roman"/>
          <w:b/>
        </w:rPr>
        <w:t xml:space="preserve"> Prawo geologiczne i górnicze</w:t>
      </w:r>
    </w:p>
    <w:p w14:paraId="158A2B70" w14:textId="457FD4AC" w:rsidR="004644C1" w:rsidRDefault="004644C1" w:rsidP="00777C33">
      <w:pPr>
        <w:spacing w:before="120"/>
        <w:jc w:val="both"/>
        <w:rPr>
          <w:rFonts w:cs="Times New Roman"/>
          <w:szCs w:val="24"/>
        </w:rPr>
      </w:pPr>
      <w:r w:rsidRPr="00117FC4">
        <w:rPr>
          <w:rFonts w:cs="Times New Roman"/>
          <w:bCs/>
          <w:szCs w:val="24"/>
        </w:rPr>
        <w:t xml:space="preserve">W art. </w:t>
      </w:r>
      <w:r w:rsidR="004B1596">
        <w:rPr>
          <w:rFonts w:cs="Times New Roman"/>
          <w:bCs/>
          <w:szCs w:val="24"/>
        </w:rPr>
        <w:t>3</w:t>
      </w:r>
      <w:r w:rsidR="004B1596" w:rsidRPr="00117FC4">
        <w:rPr>
          <w:rFonts w:cs="Times New Roman"/>
          <w:bCs/>
          <w:szCs w:val="24"/>
        </w:rPr>
        <w:t xml:space="preserve"> </w:t>
      </w:r>
      <w:r w:rsidRPr="00117FC4">
        <w:rPr>
          <w:rFonts w:cs="Times New Roman"/>
          <w:bCs/>
          <w:szCs w:val="24"/>
        </w:rPr>
        <w:t xml:space="preserve">dotyczącym </w:t>
      </w:r>
      <w:r w:rsidRPr="00117FC4">
        <w:rPr>
          <w:rFonts w:cs="Times New Roman"/>
        </w:rPr>
        <w:t xml:space="preserve">ustawy z dnia 9 czerwca 2011 r. </w:t>
      </w:r>
      <w:r w:rsidRPr="00117FC4">
        <w:rPr>
          <w:bCs/>
          <w:szCs w:val="24"/>
        </w:rPr>
        <w:t>–</w:t>
      </w:r>
      <w:r w:rsidRPr="00117FC4">
        <w:rPr>
          <w:rFonts w:cs="Times New Roman"/>
        </w:rPr>
        <w:t xml:space="preserve"> Prawo geologiczne i górnicze (Dz. U. z 2020 r. poz. 1064, 1339 i 2320 oraz z 2021 r. poz. 234</w:t>
      </w:r>
      <w:r w:rsidR="005F24F0">
        <w:rPr>
          <w:rFonts w:cs="Times New Roman"/>
        </w:rPr>
        <w:t xml:space="preserve"> i 784</w:t>
      </w:r>
      <w:r w:rsidRPr="00117FC4">
        <w:rPr>
          <w:rFonts w:cs="Times New Roman"/>
        </w:rPr>
        <w:t xml:space="preserve">), </w:t>
      </w:r>
      <w:r w:rsidRPr="00117FC4">
        <w:rPr>
          <w:rFonts w:cs="Times New Roman"/>
          <w:bCs/>
          <w:szCs w:val="24"/>
        </w:rPr>
        <w:t xml:space="preserve">proponuje się dodać wyłączenie </w:t>
      </w:r>
      <w:r w:rsidRPr="00117FC4">
        <w:rPr>
          <w:rFonts w:cs="Times New Roman"/>
          <w:szCs w:val="24"/>
        </w:rPr>
        <w:t>stosowania tej ustawy do wykonywania wkopów oraz otworów wiertniczych o głębokości do 30 m w celu poboru wody do nawadniania gruntów lub upraw, a także na</w:t>
      </w:r>
      <w:r w:rsidR="005F24F0">
        <w:rPr>
          <w:rFonts w:cs="Times New Roman"/>
          <w:szCs w:val="24"/>
        </w:rPr>
        <w:t> </w:t>
      </w:r>
      <w:r w:rsidRPr="00117FC4">
        <w:rPr>
          <w:rFonts w:cs="Times New Roman"/>
          <w:szCs w:val="24"/>
        </w:rPr>
        <w:t xml:space="preserve"> potrzeby działalności rolniczej, w ilości średniorocznie nieprzekraczającej 5 m</w:t>
      </w:r>
      <w:r w:rsidRPr="00117FC4">
        <w:rPr>
          <w:rFonts w:cs="Times New Roman"/>
          <w:szCs w:val="24"/>
          <w:vertAlign w:val="superscript"/>
        </w:rPr>
        <w:t>3</w:t>
      </w:r>
      <w:r w:rsidRPr="00117FC4">
        <w:rPr>
          <w:rFonts w:cs="Times New Roman"/>
          <w:szCs w:val="24"/>
        </w:rPr>
        <w:t xml:space="preserve"> na dobę. Przedmiotowe rozwiązanie upro</w:t>
      </w:r>
      <w:r w:rsidR="008D4872">
        <w:rPr>
          <w:rFonts w:cs="Times New Roman"/>
          <w:szCs w:val="24"/>
        </w:rPr>
        <w:t xml:space="preserve">ści </w:t>
      </w:r>
      <w:r w:rsidRPr="00117FC4">
        <w:rPr>
          <w:rFonts w:cs="Times New Roman"/>
          <w:szCs w:val="24"/>
        </w:rPr>
        <w:t>procedur</w:t>
      </w:r>
      <w:r w:rsidR="008D4872">
        <w:rPr>
          <w:rFonts w:cs="Times New Roman"/>
          <w:szCs w:val="24"/>
        </w:rPr>
        <w:t>ę</w:t>
      </w:r>
      <w:r w:rsidRPr="00117FC4">
        <w:rPr>
          <w:rFonts w:cs="Times New Roman"/>
          <w:szCs w:val="24"/>
        </w:rPr>
        <w:t xml:space="preserve"> wykonywania urządzeń wodnych do poboru wód w</w:t>
      </w:r>
      <w:r w:rsidR="008D4872">
        <w:rPr>
          <w:rFonts w:cs="Times New Roman"/>
          <w:szCs w:val="24"/>
        </w:rPr>
        <w:t xml:space="preserve"> zakresie, w jakim będą służyły </w:t>
      </w:r>
      <w:r w:rsidRPr="00117FC4">
        <w:rPr>
          <w:rFonts w:cs="Times New Roman"/>
          <w:szCs w:val="24"/>
        </w:rPr>
        <w:t>zwykłe</w:t>
      </w:r>
      <w:r w:rsidR="008D4872">
        <w:rPr>
          <w:rFonts w:cs="Times New Roman"/>
          <w:szCs w:val="24"/>
        </w:rPr>
        <w:t>mu</w:t>
      </w:r>
      <w:r w:rsidRPr="00117FC4">
        <w:rPr>
          <w:rFonts w:cs="Times New Roman"/>
          <w:szCs w:val="24"/>
        </w:rPr>
        <w:t xml:space="preserve"> korzystani</w:t>
      </w:r>
      <w:r w:rsidR="008D4872">
        <w:rPr>
          <w:rFonts w:cs="Times New Roman"/>
          <w:szCs w:val="24"/>
        </w:rPr>
        <w:t>u</w:t>
      </w:r>
      <w:r w:rsidRPr="00117FC4">
        <w:rPr>
          <w:rFonts w:cs="Times New Roman"/>
          <w:szCs w:val="24"/>
        </w:rPr>
        <w:t xml:space="preserve"> z wód.</w:t>
      </w:r>
      <w:r w:rsidR="008D4872">
        <w:rPr>
          <w:rFonts w:cs="Times New Roman"/>
          <w:szCs w:val="24"/>
        </w:rPr>
        <w:t xml:space="preserve"> Obecne przepisy Prawa geologicznego i górniczego nakładają bardziej rygorystyczne warunki na wykonanie urządzeń wodnych niż przepisy Prawa wodnego</w:t>
      </w:r>
      <w:r w:rsidR="000E5580">
        <w:rPr>
          <w:rFonts w:cs="Times New Roman"/>
          <w:szCs w:val="24"/>
        </w:rPr>
        <w:t>, które regulują warunki korzystania z tych urządzeń.</w:t>
      </w:r>
    </w:p>
    <w:p w14:paraId="43F6016B" w14:textId="6EA7582E" w:rsidR="00E617D6" w:rsidRPr="00E617D6" w:rsidRDefault="00E617D6" w:rsidP="00E617D6">
      <w:pPr>
        <w:jc w:val="both"/>
        <w:rPr>
          <w:rFonts w:cs="Times New Roman"/>
          <w:szCs w:val="24"/>
        </w:rPr>
      </w:pPr>
      <w:r w:rsidRPr="00E617D6">
        <w:rPr>
          <w:rFonts w:cs="Times New Roman"/>
          <w:szCs w:val="24"/>
        </w:rPr>
        <w:t xml:space="preserve">Zgodnie z obecnie obowiązującym brzmieniem art. 3 pkt 2a, ustawy </w:t>
      </w:r>
      <w:r>
        <w:rPr>
          <w:rFonts w:cs="Times New Roman"/>
          <w:szCs w:val="24"/>
        </w:rPr>
        <w:t xml:space="preserve">tej </w:t>
      </w:r>
      <w:r w:rsidRPr="00E617D6">
        <w:rPr>
          <w:rFonts w:cs="Times New Roman"/>
          <w:szCs w:val="24"/>
        </w:rPr>
        <w:t>nie stosuje się do wykonywania wkopów oraz otworów wiertniczych o głębokości do 30 m w celu wykonywania ujęć wód podziemnych na potrzeby poboru wód podziemnych w ilości nieprzekraczającej 5 m</w:t>
      </w:r>
      <w:r w:rsidRPr="00E617D6">
        <w:rPr>
          <w:rFonts w:cs="Times New Roman"/>
          <w:szCs w:val="24"/>
          <w:vertAlign w:val="superscript"/>
        </w:rPr>
        <w:t>3</w:t>
      </w:r>
      <w:r w:rsidRPr="00E617D6">
        <w:rPr>
          <w:rFonts w:cs="Times New Roman"/>
          <w:szCs w:val="24"/>
        </w:rPr>
        <w:t xml:space="preserve"> na dobę.</w:t>
      </w:r>
      <w:r>
        <w:rPr>
          <w:rFonts w:cs="Times New Roman"/>
          <w:szCs w:val="24"/>
        </w:rPr>
        <w:t xml:space="preserve"> </w:t>
      </w:r>
    </w:p>
    <w:p w14:paraId="4FA13B5D" w14:textId="7C9D65E2" w:rsidR="00E617D6" w:rsidRPr="00E617D6" w:rsidRDefault="00E617D6" w:rsidP="00E617D6">
      <w:pPr>
        <w:jc w:val="both"/>
        <w:rPr>
          <w:rFonts w:eastAsia="TimesNewRoman" w:cs="Times New Roman"/>
          <w:szCs w:val="24"/>
        </w:rPr>
      </w:pPr>
      <w:r w:rsidRPr="00E617D6">
        <w:rPr>
          <w:rFonts w:cs="Times New Roman"/>
          <w:szCs w:val="24"/>
        </w:rPr>
        <w:t xml:space="preserve">Zgodnie z ustawą Prawo wodne zwykłe korzystanie z wód obejmuje </w:t>
      </w:r>
      <w:r w:rsidRPr="00E617D6">
        <w:rPr>
          <w:rFonts w:eastAsia="TimesNewRoman" w:cs="Times New Roman"/>
          <w:szCs w:val="24"/>
        </w:rPr>
        <w:t>pobór wód podziemnych lub wód powierzchniowych w ilości średniorocznie nieprzekraczającej 5 m</w:t>
      </w:r>
      <w:r w:rsidRPr="00161005">
        <w:rPr>
          <w:rFonts w:eastAsia="TimesNewRoman" w:cs="Times New Roman"/>
          <w:szCs w:val="24"/>
          <w:vertAlign w:val="superscript"/>
        </w:rPr>
        <w:t>3</w:t>
      </w:r>
      <w:r w:rsidRPr="00E617D6">
        <w:rPr>
          <w:rFonts w:eastAsia="TimesNewRoman" w:cs="Times New Roman"/>
          <w:szCs w:val="24"/>
        </w:rPr>
        <w:t xml:space="preserve"> na dobę. Zmiana </w:t>
      </w:r>
      <w:r w:rsidR="00D65418">
        <w:rPr>
          <w:rFonts w:eastAsia="TimesNewRoman" w:cs="Times New Roman"/>
          <w:szCs w:val="24"/>
        </w:rPr>
        <w:t xml:space="preserve">ustawy Prawo geologiczne i górnicze ma na celu dostosowanie przepisów </w:t>
      </w:r>
      <w:r w:rsidR="008324BF">
        <w:rPr>
          <w:rFonts w:eastAsia="TimesNewRoman" w:cs="Times New Roman"/>
          <w:szCs w:val="24"/>
        </w:rPr>
        <w:t xml:space="preserve">tej </w:t>
      </w:r>
      <w:r w:rsidRPr="00E617D6">
        <w:rPr>
          <w:rFonts w:eastAsia="TimesNewRoman" w:cs="Times New Roman"/>
          <w:szCs w:val="24"/>
        </w:rPr>
        <w:t xml:space="preserve">ustawy </w:t>
      </w:r>
      <w:r w:rsidR="00D65418">
        <w:rPr>
          <w:rFonts w:eastAsia="TimesNewRoman" w:cs="Times New Roman"/>
          <w:szCs w:val="24"/>
        </w:rPr>
        <w:t>do</w:t>
      </w:r>
      <w:r w:rsidR="008324BF">
        <w:rPr>
          <w:rFonts w:eastAsia="TimesNewRoman" w:cs="Times New Roman"/>
          <w:szCs w:val="24"/>
        </w:rPr>
        <w:t> </w:t>
      </w:r>
      <w:r w:rsidR="00D65418">
        <w:rPr>
          <w:rFonts w:eastAsia="TimesNewRoman" w:cs="Times New Roman"/>
          <w:szCs w:val="24"/>
        </w:rPr>
        <w:t xml:space="preserve"> obowiązujących zasad korzystania z wód podziemnych kreślonych przepisami Prawa wodnego</w:t>
      </w:r>
      <w:r w:rsidRPr="00E617D6">
        <w:rPr>
          <w:rFonts w:eastAsia="TimesNewRoman" w:cs="Times New Roman"/>
          <w:szCs w:val="24"/>
        </w:rPr>
        <w:t>.</w:t>
      </w:r>
      <w:r w:rsidR="00D65418">
        <w:rPr>
          <w:rFonts w:eastAsia="TimesNewRoman" w:cs="Times New Roman"/>
          <w:szCs w:val="24"/>
        </w:rPr>
        <w:t xml:space="preserve"> </w:t>
      </w:r>
    </w:p>
    <w:p w14:paraId="0616D381" w14:textId="7A5F99E6" w:rsidR="00E617D6" w:rsidRPr="00E617D6" w:rsidRDefault="00E617D6" w:rsidP="00E617D6">
      <w:pPr>
        <w:spacing w:before="120"/>
        <w:jc w:val="both"/>
        <w:rPr>
          <w:rFonts w:cs="Times New Roman"/>
          <w:szCs w:val="24"/>
        </w:rPr>
      </w:pPr>
      <w:r w:rsidRPr="00E617D6">
        <w:rPr>
          <w:rFonts w:cs="Times New Roman"/>
          <w:szCs w:val="24"/>
        </w:rPr>
        <w:t xml:space="preserve">W ten sposób pobór wody wskazany w ustawie </w:t>
      </w:r>
      <w:r w:rsidRPr="00161005">
        <w:rPr>
          <w:rFonts w:cs="Times New Roman"/>
          <w:iCs/>
          <w:szCs w:val="24"/>
        </w:rPr>
        <w:t>Prawo wodne</w:t>
      </w:r>
      <w:r w:rsidRPr="00E617D6">
        <w:rPr>
          <w:rFonts w:cs="Times New Roman"/>
          <w:szCs w:val="24"/>
        </w:rPr>
        <w:t xml:space="preserve"> jako średniorocznie 5 m</w:t>
      </w:r>
      <w:r w:rsidRPr="00E617D6">
        <w:rPr>
          <w:rFonts w:cs="Times New Roman"/>
          <w:szCs w:val="24"/>
          <w:vertAlign w:val="superscript"/>
        </w:rPr>
        <w:t>3</w:t>
      </w:r>
      <w:r w:rsidRPr="00E617D6">
        <w:rPr>
          <w:rFonts w:cs="Times New Roman"/>
          <w:szCs w:val="24"/>
        </w:rPr>
        <w:t xml:space="preserve"> na dobę będzie tak samo rozumiany </w:t>
      </w:r>
      <w:r w:rsidR="00D44E2B">
        <w:rPr>
          <w:rFonts w:cs="Times New Roman"/>
          <w:szCs w:val="24"/>
        </w:rPr>
        <w:t xml:space="preserve">jak w przepisach ustawy </w:t>
      </w:r>
      <w:r w:rsidR="00D44E2B">
        <w:rPr>
          <w:rFonts w:eastAsia="TimesNewRoman" w:cs="Times New Roman"/>
          <w:szCs w:val="24"/>
        </w:rPr>
        <w:t>Prawo geologiczne i górnicze</w:t>
      </w:r>
      <w:r w:rsidRPr="00E617D6">
        <w:rPr>
          <w:rFonts w:cs="Times New Roman"/>
          <w:szCs w:val="24"/>
        </w:rPr>
        <w:t>.</w:t>
      </w:r>
    </w:p>
    <w:p w14:paraId="70B11B4F" w14:textId="77777777" w:rsidR="008B0397" w:rsidRPr="00117FC4" w:rsidRDefault="008B0397" w:rsidP="00777C33">
      <w:pPr>
        <w:widowControl/>
        <w:suppressAutoHyphens/>
        <w:autoSpaceDE/>
        <w:autoSpaceDN/>
        <w:adjustRightInd/>
        <w:spacing w:before="120" w:after="120"/>
        <w:jc w:val="both"/>
        <w:rPr>
          <w:rFonts w:eastAsia="Times New Roman"/>
          <w:b/>
          <w:szCs w:val="24"/>
        </w:rPr>
      </w:pPr>
      <w:r w:rsidRPr="00117FC4">
        <w:rPr>
          <w:rFonts w:eastAsia="Times New Roman"/>
          <w:b/>
          <w:szCs w:val="24"/>
        </w:rPr>
        <w:t xml:space="preserve">Zmiany w ustawie </w:t>
      </w:r>
      <w:r w:rsidRPr="00117FC4">
        <w:rPr>
          <w:rFonts w:eastAsia="Calibri" w:cs="Times New Roman"/>
          <w:b/>
          <w:szCs w:val="24"/>
          <w:lang w:eastAsia="en-US"/>
        </w:rPr>
        <w:t>o rozwoju lokalnym z udziałem lokalnej społeczności</w:t>
      </w:r>
    </w:p>
    <w:p w14:paraId="5571ABAC" w14:textId="540E9317" w:rsidR="004644C1" w:rsidRPr="00117FC4" w:rsidRDefault="004644C1" w:rsidP="00777C33">
      <w:pPr>
        <w:widowControl/>
        <w:suppressAutoHyphens/>
        <w:autoSpaceDE/>
        <w:autoSpaceDN/>
        <w:adjustRightInd/>
        <w:jc w:val="both"/>
        <w:rPr>
          <w:rFonts w:eastAsia="Times New Roman"/>
          <w:szCs w:val="24"/>
        </w:rPr>
      </w:pPr>
      <w:r w:rsidRPr="00117FC4">
        <w:rPr>
          <w:rFonts w:eastAsia="Times New Roman"/>
          <w:szCs w:val="24"/>
        </w:rPr>
        <w:lastRenderedPageBreak/>
        <w:t xml:space="preserve">Zmiany przepisów </w:t>
      </w:r>
      <w:r w:rsidRPr="00117FC4">
        <w:rPr>
          <w:rFonts w:eastAsia="Calibri" w:cs="Times New Roman"/>
          <w:szCs w:val="24"/>
          <w:lang w:eastAsia="en-US"/>
        </w:rPr>
        <w:t>ustawy z dnia 20 lutego 2015 r. o rozwoju lokalnym z udziałem lokalnej społeczności</w:t>
      </w:r>
      <w:r w:rsidRPr="00117FC4">
        <w:rPr>
          <w:rFonts w:eastAsia="Calibri" w:cs="Times New Roman"/>
          <w:szCs w:val="24"/>
        </w:rPr>
        <w:t xml:space="preserve"> (Dz. U. z 2019 r. poz. 1167), zwanej dalej „ustawą o RLKS”, </w:t>
      </w:r>
      <w:r w:rsidRPr="00117FC4">
        <w:rPr>
          <w:rFonts w:eastAsia="Times New Roman"/>
          <w:szCs w:val="24"/>
        </w:rPr>
        <w:t>zaproponowane w</w:t>
      </w:r>
      <w:r w:rsidR="005F24F0">
        <w:rPr>
          <w:rFonts w:eastAsia="Times New Roman"/>
          <w:szCs w:val="24"/>
        </w:rPr>
        <w:t> </w:t>
      </w:r>
      <w:r w:rsidRPr="00117FC4">
        <w:rPr>
          <w:rFonts w:eastAsia="Times New Roman"/>
          <w:szCs w:val="24"/>
        </w:rPr>
        <w:t xml:space="preserve"> art. </w:t>
      </w:r>
      <w:r w:rsidR="004B1596">
        <w:rPr>
          <w:rFonts w:eastAsia="Times New Roman"/>
          <w:szCs w:val="24"/>
        </w:rPr>
        <w:t>4</w:t>
      </w:r>
      <w:r w:rsidRPr="00117FC4">
        <w:rPr>
          <w:rFonts w:eastAsia="Times New Roman"/>
          <w:szCs w:val="24"/>
        </w:rPr>
        <w:t xml:space="preserve">, są konieczne w kontekście wydłużenia okresu wdrażania poddziałania, o którym mowa w art. 3 ust. 1 pkt 14 lit. a </w:t>
      </w:r>
      <w:r w:rsidRPr="00117FC4">
        <w:t xml:space="preserve">ustawy </w:t>
      </w:r>
      <w:r w:rsidRPr="00117FC4">
        <w:rPr>
          <w:rFonts w:eastAsia="Calibri"/>
        </w:rPr>
        <w:t>z dnia 20 lutego 2015 r. o wspieraniu rozwoju obszarów wiejskich z udziałem środków Europejskiego Funduszu Rolnego na rzecz Rozwoju Obszarów Wiejskich w ramach Programu Rozwoju Obszarów Wiejskich na lata 2014</w:t>
      </w:r>
      <w:r w:rsidRPr="00117FC4">
        <w:t>–</w:t>
      </w:r>
      <w:r w:rsidRPr="00117FC4">
        <w:rPr>
          <w:rFonts w:eastAsia="Calibri"/>
        </w:rPr>
        <w:t>2020 (Dz. U. z</w:t>
      </w:r>
      <w:r w:rsidR="005F24F0">
        <w:t> </w:t>
      </w:r>
      <w:r w:rsidRPr="00117FC4">
        <w:rPr>
          <w:rFonts w:eastAsia="Calibri"/>
        </w:rPr>
        <w:t xml:space="preserve"> 2021 r. poz. 182), zwanej dalej „ustawą </w:t>
      </w:r>
      <w:r w:rsidRPr="00117FC4">
        <w:rPr>
          <w:rFonts w:eastAsia="Times New Roman"/>
          <w:szCs w:val="24"/>
        </w:rPr>
        <w:t>o PROW 2014–2020”, przy jednoczesnym klasycznym siedmioletnim okresie trwania programów finansowanych z innych funduszy niż EFRROW, a które mogą współfinansować Rozwój Lokalny Kierowany przez Społeczność (RLKS), a także z powodu konieczności dokonania wyboru nowych strategii rozwoju lokalnego kierowanego przez społeczność (LSR).</w:t>
      </w:r>
    </w:p>
    <w:p w14:paraId="04D3B6A3" w14:textId="77777777" w:rsidR="004644C1" w:rsidRPr="00117FC4" w:rsidRDefault="004644C1" w:rsidP="00777C33">
      <w:pPr>
        <w:widowControl/>
        <w:suppressAutoHyphens/>
        <w:autoSpaceDE/>
        <w:autoSpaceDN/>
        <w:adjustRightInd/>
        <w:spacing w:before="120"/>
        <w:jc w:val="both"/>
        <w:rPr>
          <w:rFonts w:eastAsia="Times New Roman"/>
          <w:szCs w:val="24"/>
        </w:rPr>
      </w:pPr>
      <w:r w:rsidRPr="00117FC4">
        <w:rPr>
          <w:rFonts w:eastAsia="Times New Roman"/>
          <w:szCs w:val="24"/>
        </w:rPr>
        <w:t>W Strategii na rzecz Odpowiedzialnego Rozwoju do roku 2020 (z perspektywą do 2030 r.), przyjętej przez Radę Ministrów w dniu 14 lutego 2017 r., wskazano, że jednym z działań po</w:t>
      </w:r>
      <w:r w:rsidR="0003479B">
        <w:rPr>
          <w:rFonts w:eastAsia="Times New Roman"/>
          <w:szCs w:val="24"/>
        </w:rPr>
        <w:t> </w:t>
      </w:r>
      <w:r w:rsidRPr="00117FC4">
        <w:rPr>
          <w:rFonts w:eastAsia="Times New Roman"/>
          <w:szCs w:val="24"/>
        </w:rPr>
        <w:t xml:space="preserve"> 2020 roku ma być: upowszechnienie i usprawnienie mechanizmów terytorialnych stosowanych w ramach krajowych i regionalnych programów operacyjnych 2014–2020 w</w:t>
      </w:r>
      <w:r w:rsidR="0003479B">
        <w:rPr>
          <w:rFonts w:eastAsia="Times New Roman"/>
          <w:szCs w:val="24"/>
        </w:rPr>
        <w:t> </w:t>
      </w:r>
      <w:r w:rsidRPr="00117FC4">
        <w:rPr>
          <w:rFonts w:eastAsia="Times New Roman"/>
          <w:szCs w:val="24"/>
        </w:rPr>
        <w:t xml:space="preserve"> realizacji działań rozwojowych finansowanych również z innych źródeł (np. Europejski Obszar Gospodarczy, Fundusz Norweski, budżet państwa), np. Zintegrowana Inwestycja Terytorialna, RLKS, instrumenty regionalne. Z kolei w założeniu funkcjonowania instrumentów terytorialnych po 2020 roku wskazuje się na możliwość, aby na jednym obszarze funkcjonował więcej niż jeden instrument terytorialny, jeżeli zapewniona zostanie komplementarność podejmowanych działań i spełniona zasada o zakazie podwójnego finansowania.</w:t>
      </w:r>
    </w:p>
    <w:p w14:paraId="491233D3" w14:textId="77777777" w:rsidR="004644C1" w:rsidRPr="00117FC4" w:rsidRDefault="004644C1" w:rsidP="00777C33">
      <w:pPr>
        <w:widowControl/>
        <w:suppressAutoHyphens/>
        <w:autoSpaceDE/>
        <w:autoSpaceDN/>
        <w:adjustRightInd/>
        <w:spacing w:before="120"/>
        <w:jc w:val="both"/>
        <w:rPr>
          <w:rFonts w:eastAsia="Times New Roman"/>
          <w:szCs w:val="24"/>
        </w:rPr>
      </w:pPr>
      <w:r w:rsidRPr="00117FC4">
        <w:rPr>
          <w:rFonts w:eastAsia="Times New Roman"/>
          <w:szCs w:val="24"/>
        </w:rPr>
        <w:t>Tym samym, jednym z działań, które realizowane są obecnie w ramach PROW 2014–2020 jest „LEADER”, czyli RLKS wspierany ze środków Europejskiego Funduszu Rolnego na rzecz Rozwoju Obszarów Wiejskich (EFRROW). Należy jednak zauważyć, że metoda LEADER została także przyjęta w ramach trzech innych funduszy UE: Europejski</w:t>
      </w:r>
      <w:r w:rsidR="005F24F0">
        <w:rPr>
          <w:rFonts w:eastAsia="Times New Roman"/>
          <w:szCs w:val="24"/>
        </w:rPr>
        <w:t>ego</w:t>
      </w:r>
      <w:r w:rsidRPr="00117FC4">
        <w:rPr>
          <w:rFonts w:eastAsia="Times New Roman"/>
          <w:szCs w:val="24"/>
        </w:rPr>
        <w:t xml:space="preserve"> Fundusz</w:t>
      </w:r>
      <w:r w:rsidR="005F24F0">
        <w:rPr>
          <w:rFonts w:eastAsia="Times New Roman"/>
          <w:szCs w:val="24"/>
        </w:rPr>
        <w:t>u</w:t>
      </w:r>
      <w:r w:rsidRPr="00117FC4">
        <w:rPr>
          <w:rFonts w:eastAsia="Times New Roman"/>
          <w:szCs w:val="24"/>
        </w:rPr>
        <w:t xml:space="preserve"> Rozwoju Regionalnego, Europejski</w:t>
      </w:r>
      <w:r w:rsidR="005F24F0">
        <w:rPr>
          <w:rFonts w:eastAsia="Times New Roman"/>
          <w:szCs w:val="24"/>
        </w:rPr>
        <w:t>ego</w:t>
      </w:r>
      <w:r w:rsidRPr="00117FC4">
        <w:rPr>
          <w:rFonts w:eastAsia="Times New Roman"/>
          <w:szCs w:val="24"/>
        </w:rPr>
        <w:t xml:space="preserve"> Fundusz</w:t>
      </w:r>
      <w:r w:rsidR="005F24F0">
        <w:rPr>
          <w:rFonts w:eastAsia="Times New Roman"/>
          <w:szCs w:val="24"/>
        </w:rPr>
        <w:t>u</w:t>
      </w:r>
      <w:r w:rsidRPr="00117FC4">
        <w:rPr>
          <w:rFonts w:eastAsia="Times New Roman"/>
          <w:szCs w:val="24"/>
        </w:rPr>
        <w:t xml:space="preserve"> Społeczn</w:t>
      </w:r>
      <w:r w:rsidR="005F24F0">
        <w:rPr>
          <w:rFonts w:eastAsia="Times New Roman"/>
          <w:szCs w:val="24"/>
        </w:rPr>
        <w:t>ego</w:t>
      </w:r>
      <w:r w:rsidRPr="00117FC4">
        <w:rPr>
          <w:rFonts w:eastAsia="Times New Roman"/>
          <w:szCs w:val="24"/>
        </w:rPr>
        <w:t xml:space="preserve"> oraz Europejski</w:t>
      </w:r>
      <w:r w:rsidR="005F24F0">
        <w:rPr>
          <w:rFonts w:eastAsia="Times New Roman"/>
          <w:szCs w:val="24"/>
        </w:rPr>
        <w:t>ego</w:t>
      </w:r>
      <w:r w:rsidRPr="00117FC4">
        <w:rPr>
          <w:rFonts w:eastAsia="Times New Roman"/>
          <w:szCs w:val="24"/>
        </w:rPr>
        <w:t xml:space="preserve"> Fundusz</w:t>
      </w:r>
      <w:r w:rsidR="005F24F0">
        <w:rPr>
          <w:rFonts w:eastAsia="Times New Roman"/>
          <w:szCs w:val="24"/>
        </w:rPr>
        <w:t>u</w:t>
      </w:r>
      <w:r w:rsidRPr="00117FC4">
        <w:rPr>
          <w:rFonts w:eastAsia="Times New Roman"/>
          <w:szCs w:val="24"/>
        </w:rPr>
        <w:t xml:space="preserve"> Morski</w:t>
      </w:r>
      <w:r w:rsidR="005F24F0">
        <w:rPr>
          <w:rFonts w:eastAsia="Times New Roman"/>
          <w:szCs w:val="24"/>
        </w:rPr>
        <w:t>ego</w:t>
      </w:r>
      <w:r w:rsidRPr="00117FC4">
        <w:rPr>
          <w:rFonts w:eastAsia="Times New Roman"/>
          <w:szCs w:val="24"/>
        </w:rPr>
        <w:t xml:space="preserve"> i Rybacki</w:t>
      </w:r>
      <w:r w:rsidR="005F24F0">
        <w:rPr>
          <w:rFonts w:eastAsia="Times New Roman"/>
          <w:szCs w:val="24"/>
        </w:rPr>
        <w:t>ego</w:t>
      </w:r>
      <w:r w:rsidRPr="00117FC4">
        <w:rPr>
          <w:rFonts w:eastAsia="Times New Roman"/>
          <w:szCs w:val="24"/>
        </w:rPr>
        <w:t>, a także dostosowana do potrzeb miast, obszarów przybrzeżnych i kluczowych kwestii społecznych. Choć metodologia LEADER jest obowiązkowa tylko w ramach EFRROW, to jedna LSR może obecnie korzystać ze wsparcia jednocześnie w ramach co</w:t>
      </w:r>
      <w:r w:rsidR="005F24F0">
        <w:rPr>
          <w:rFonts w:eastAsia="Times New Roman"/>
          <w:szCs w:val="24"/>
        </w:rPr>
        <w:t> </w:t>
      </w:r>
      <w:r w:rsidRPr="00117FC4">
        <w:rPr>
          <w:rFonts w:eastAsia="Times New Roman"/>
          <w:szCs w:val="24"/>
        </w:rPr>
        <w:t xml:space="preserve"> najmniej dwóch z czterech funduszy unijnych właśnie dzięki koncepcji </w:t>
      </w:r>
      <w:r w:rsidRPr="00117FC4">
        <w:rPr>
          <w:rFonts w:eastAsia="Times New Roman"/>
          <w:bCs/>
          <w:szCs w:val="24"/>
        </w:rPr>
        <w:t>RLKS, polegającej na finansowaniu z wielu źródeł</w:t>
      </w:r>
      <w:r w:rsidRPr="00117FC4">
        <w:rPr>
          <w:rFonts w:eastAsia="Times New Roman"/>
          <w:szCs w:val="24"/>
        </w:rPr>
        <w:t>. Możliwość ta pozwala lokalnym grupom działania (LGD) na</w:t>
      </w:r>
      <w:r w:rsidR="005F24F0">
        <w:rPr>
          <w:rFonts w:eastAsia="Times New Roman"/>
          <w:szCs w:val="24"/>
        </w:rPr>
        <w:t> </w:t>
      </w:r>
      <w:r w:rsidRPr="00117FC4">
        <w:rPr>
          <w:rFonts w:eastAsia="Times New Roman"/>
          <w:szCs w:val="24"/>
        </w:rPr>
        <w:t xml:space="preserve"> kompleksowe zaspokajanie lokalnych potrzeb, pomaga im umacniać powiązania między </w:t>
      </w:r>
      <w:r w:rsidRPr="00117FC4">
        <w:rPr>
          <w:rFonts w:eastAsia="Times New Roman"/>
          <w:szCs w:val="24"/>
        </w:rPr>
        <w:lastRenderedPageBreak/>
        <w:t>obszarami wiejskimi i miejskimi. Wartość dodana tego podejścia wiąże się ze wzmocnieniem lokalnego zaangażowania poprzez rozwój lokalnej strategii, jej realizację i przydział zasobów. Jest bardzo istotne dla wdrażania przedsięwzięć w zakresie powiązań funkcjonalnych miasto</w:t>
      </w:r>
      <w:r w:rsidR="005F24F0">
        <w:rPr>
          <w:rFonts w:eastAsia="Times New Roman"/>
          <w:szCs w:val="24"/>
        </w:rPr>
        <w:t xml:space="preserve"> –</w:t>
      </w:r>
      <w:r w:rsidRPr="00117FC4">
        <w:rPr>
          <w:rFonts w:eastAsia="Times New Roman"/>
          <w:szCs w:val="24"/>
        </w:rPr>
        <w:t>wieś. RLKS jest bowiem instrumentem spajającym terytorialnie inicjatywy właściwe dla różnych jednostek administracyjnych, które przyczyniają się do rozwoju społeczno-gospodarczego obszaru objętego LSR. Należy zwrócić uwagę również na jego prawidłowości: oddolność, podejście terytorialne, partnerstwo lokalne, integracja sektorów oraz sieciowanie i</w:t>
      </w:r>
      <w:r w:rsidR="005F24F0">
        <w:rPr>
          <w:rFonts w:eastAsia="Times New Roman"/>
          <w:szCs w:val="24"/>
        </w:rPr>
        <w:t> </w:t>
      </w:r>
      <w:r w:rsidRPr="00117FC4">
        <w:rPr>
          <w:rFonts w:eastAsia="Times New Roman"/>
          <w:szCs w:val="24"/>
        </w:rPr>
        <w:t xml:space="preserve"> współpraca. Tym samym kluczowym elementem działania całego systemu po 2020 jest LSR – zarówno sposób jej tworzenia, jak i sam jej kształt i struktura oraz bardzo zróżnicowane pod różnymi względami LGD. RLKS jest instrumentem skupionym na oddolnym realizowaniu działań, który udowodnił swoją skuteczność i może przynieść większą wartość dodaną niż w</w:t>
      </w:r>
      <w:r w:rsidR="005F24F0">
        <w:rPr>
          <w:rFonts w:eastAsia="Times New Roman"/>
          <w:szCs w:val="24"/>
        </w:rPr>
        <w:t> </w:t>
      </w:r>
      <w:r w:rsidRPr="00117FC4">
        <w:rPr>
          <w:rFonts w:eastAsia="Times New Roman"/>
          <w:szCs w:val="24"/>
        </w:rPr>
        <w:t xml:space="preserve"> przypadku realizacji ich tylko w tradycyjny, odgórny sposób, bądź realizacji ich wyłącznie z inicjatywy podmiotów publicznych. Należy przy tym zauważyć, że możliwy zakres wsparcia na realizację LSR ze środków EFRROW ukierunkowany</w:t>
      </w:r>
      <w:r w:rsidR="00647B74" w:rsidRPr="00117FC4">
        <w:rPr>
          <w:rFonts w:eastAsia="Times New Roman"/>
          <w:szCs w:val="24"/>
        </w:rPr>
        <w:t xml:space="preserve"> </w:t>
      </w:r>
      <w:r w:rsidR="00647B74" w:rsidRPr="00117FC4">
        <w:t>jest także</w:t>
      </w:r>
      <w:r w:rsidRPr="00117FC4">
        <w:rPr>
          <w:rFonts w:eastAsia="Times New Roman"/>
          <w:szCs w:val="24"/>
        </w:rPr>
        <w:t xml:space="preserve"> na potrzeby rolników i</w:t>
      </w:r>
      <w:r w:rsidR="005F24F0">
        <w:rPr>
          <w:rFonts w:eastAsia="Times New Roman"/>
          <w:szCs w:val="24"/>
        </w:rPr>
        <w:t> </w:t>
      </w:r>
      <w:r w:rsidRPr="00117FC4">
        <w:rPr>
          <w:rFonts w:eastAsia="Times New Roman"/>
          <w:szCs w:val="24"/>
        </w:rPr>
        <w:t xml:space="preserve"> domowników, a tym samym obejmie wsparcie m.in. w zakresie agroturystyki, zagród edukacyjnych, gospodarstw opiekuńczych, e-skrzynek od rolnika oraz w zakresie ochrony i</w:t>
      </w:r>
      <w:r w:rsidR="005F24F0">
        <w:rPr>
          <w:rFonts w:eastAsia="Times New Roman"/>
          <w:szCs w:val="24"/>
        </w:rPr>
        <w:t> </w:t>
      </w:r>
      <w:r w:rsidRPr="00117FC4">
        <w:rPr>
          <w:rFonts w:eastAsia="Times New Roman"/>
          <w:szCs w:val="24"/>
        </w:rPr>
        <w:t xml:space="preserve"> zachowania dziedzictwa. </w:t>
      </w:r>
      <w:r w:rsidR="00647B74" w:rsidRPr="00117FC4">
        <w:rPr>
          <w:rFonts w:eastAsia="Times New Roman"/>
          <w:szCs w:val="24"/>
        </w:rPr>
        <w:t xml:space="preserve">Tym samym </w:t>
      </w:r>
      <w:r w:rsidRPr="00117FC4">
        <w:rPr>
          <w:rFonts w:eastAsia="Times New Roman"/>
          <w:szCs w:val="24"/>
        </w:rPr>
        <w:t>LEADER przyczyni</w:t>
      </w:r>
      <w:r w:rsidR="00647B74" w:rsidRPr="00117FC4">
        <w:rPr>
          <w:rFonts w:eastAsia="Times New Roman"/>
          <w:szCs w:val="24"/>
        </w:rPr>
        <w:t>a</w:t>
      </w:r>
      <w:r w:rsidRPr="00117FC4">
        <w:rPr>
          <w:rFonts w:eastAsia="Times New Roman"/>
          <w:szCs w:val="24"/>
        </w:rPr>
        <w:t xml:space="preserve"> się </w:t>
      </w:r>
      <w:r w:rsidR="00647B74" w:rsidRPr="00117FC4">
        <w:rPr>
          <w:rFonts w:eastAsia="Times New Roman"/>
          <w:szCs w:val="24"/>
        </w:rPr>
        <w:t xml:space="preserve">przez to </w:t>
      </w:r>
      <w:r w:rsidRPr="00117FC4">
        <w:rPr>
          <w:rFonts w:eastAsia="Times New Roman"/>
          <w:szCs w:val="24"/>
        </w:rPr>
        <w:t>do podnoszenia jakości życia mieszkańców wsi, w tym rolników i ich rodzin, w kontekście zachowania struktury przestrzennej, społecznej i gospodarczej wsi oraz realizowania przez gospodarstwa rolne publicznej misji w zakresie kształtowania świadomości obywatelskiej o rolnictwie, gospodarcze rolno-spożywczej oraz dziedzictwie kulturowym i przyrodniczym polskiej wsi. Objęcie wsparciem takich obszarów tematycznych jest sednem podejścia LEADER. Warto jednocześnie zwrócić uwagę na fakt, że brak wsparcia w ww. zakresach tematycznych nie zostanie skompensowany przez inne programy/fundusze.</w:t>
      </w:r>
    </w:p>
    <w:p w14:paraId="5A5B10B9" w14:textId="77777777" w:rsidR="004644C1" w:rsidRPr="00117FC4" w:rsidRDefault="004644C1" w:rsidP="00751BD6">
      <w:pPr>
        <w:widowControl/>
        <w:suppressAutoHyphens/>
        <w:autoSpaceDE/>
        <w:autoSpaceDN/>
        <w:adjustRightInd/>
        <w:spacing w:before="120"/>
        <w:jc w:val="both"/>
        <w:rPr>
          <w:rFonts w:eastAsia="Times New Roman"/>
          <w:szCs w:val="24"/>
        </w:rPr>
      </w:pPr>
      <w:r w:rsidRPr="00117FC4">
        <w:rPr>
          <w:rFonts w:eastAsia="Times New Roman"/>
          <w:szCs w:val="24"/>
        </w:rPr>
        <w:t xml:space="preserve">Na przygotowanie wdrażania kolejnej siedmiolatki podejścia LEADER (RLKS) w ramach EFRROW, w tym na sposób przeprowadzenia wyboru LSR, decydujący wpływ ma wydłużony o 2 lata proces legislacyjny rozporządzenia UE w sprawie Wspólnej Polityki Rolnej (WPR) oraz opóźnienie prac legislacyjnych w sprawie wspólnych przepisów (Common Provisions Regulations - CPR). Powyższe uwarunkowania powodują w przypadku LEADER (oraz innych mechanizmów wsparcia w ramach WPR), wystąpienie okresu przejściowego (2021–2022) oraz determinują nietypowy, pięcioletni okres wdrażania Planu Strategicznego dla WPR na lata 2023–2027. Może powodować to znaczne opóźnienie procesu wyboru LSR, a w konsekwencji opóźnienie dostępu do środków UE dla podmiotów z obszarów objętych tymi strategiami oraz </w:t>
      </w:r>
      <w:r w:rsidRPr="00117FC4">
        <w:rPr>
          <w:rFonts w:eastAsia="Times New Roman"/>
          <w:szCs w:val="24"/>
        </w:rPr>
        <w:lastRenderedPageBreak/>
        <w:t>utrudnienia w przeprowadzeniu wspólnego wyboru LSR wielofunduszowych, tj. obejmujących także programy w ww. pozostałych funduszy, w których okres przejściowy nie będzie występował.</w:t>
      </w:r>
    </w:p>
    <w:p w14:paraId="729D78B3" w14:textId="77777777" w:rsidR="004644C1" w:rsidRPr="00117FC4" w:rsidRDefault="004644C1" w:rsidP="00751BD6">
      <w:pPr>
        <w:widowControl/>
        <w:suppressAutoHyphens/>
        <w:autoSpaceDE/>
        <w:autoSpaceDN/>
        <w:adjustRightInd/>
        <w:spacing w:before="120"/>
        <w:jc w:val="both"/>
        <w:rPr>
          <w:rFonts w:eastAsia="Times New Roman"/>
          <w:szCs w:val="24"/>
        </w:rPr>
      </w:pPr>
      <w:r w:rsidRPr="00117FC4">
        <w:rPr>
          <w:rFonts w:eastAsia="Times New Roman"/>
          <w:szCs w:val="24"/>
        </w:rPr>
        <w:t>Mając na uwadze powyższe oraz fakt, iż w celu prawidłowej realizacji RLKS sposób i warunki wdrażania RLKS ze wszystkich funduszy zostały uszczegółowione w jednej ustawie o RLKS, podjęto decyzję o jej jak najszybszej aktualizacji, bowiem na</w:t>
      </w:r>
      <w:r w:rsidRPr="00117FC4" w:rsidDel="005514A2">
        <w:rPr>
          <w:rFonts w:eastAsia="Times New Roman"/>
          <w:szCs w:val="24"/>
        </w:rPr>
        <w:t xml:space="preserve"> </w:t>
      </w:r>
      <w:r w:rsidRPr="00117FC4">
        <w:rPr>
          <w:rFonts w:eastAsia="Times New Roman"/>
          <w:szCs w:val="24"/>
        </w:rPr>
        <w:t>progu nowej perspektywy finansowej konieczne jest określenie na nowo warunków realizacji RLKS, które będą wynikały z nowych uwarunkowań poszczególnych funduszy, z uwzględnieniem ujednolicenia zasad pomiędzy funduszami i programami, a także w zakresie realizacji działań rozwojowych w</w:t>
      </w:r>
      <w:r w:rsidR="005F24F0">
        <w:rPr>
          <w:rFonts w:eastAsia="Times New Roman"/>
          <w:szCs w:val="24"/>
        </w:rPr>
        <w:t> </w:t>
      </w:r>
      <w:r w:rsidRPr="00117FC4">
        <w:rPr>
          <w:rFonts w:eastAsia="Times New Roman"/>
          <w:szCs w:val="24"/>
        </w:rPr>
        <w:t xml:space="preserve"> sposób społecznie i terytorialnie zrównoważony wynikający z nowych uwarunkowań społeczno-gospodarczych służących m.in. odbudowie po kryzysie w następstwie COVID-19.</w:t>
      </w:r>
    </w:p>
    <w:p w14:paraId="1E2C4FA9" w14:textId="77777777" w:rsidR="004644C1" w:rsidRPr="00117FC4" w:rsidRDefault="004644C1" w:rsidP="00751BD6">
      <w:pPr>
        <w:widowControl/>
        <w:suppressAutoHyphens/>
        <w:autoSpaceDE/>
        <w:autoSpaceDN/>
        <w:adjustRightInd/>
        <w:spacing w:before="120"/>
        <w:jc w:val="both"/>
        <w:rPr>
          <w:rFonts w:eastAsia="Times New Roman"/>
          <w:szCs w:val="24"/>
        </w:rPr>
      </w:pPr>
      <w:r w:rsidRPr="00117FC4">
        <w:rPr>
          <w:rFonts w:eastAsia="Times New Roman"/>
          <w:szCs w:val="24"/>
        </w:rPr>
        <w:t>Uwzględniając zatem dotychczasowy potencjał zgromadzony na wszystkich szczeblach wdrażania RLKS, należy utrzymać dotychczasowy system instytucjonalny oparty na</w:t>
      </w:r>
      <w:r w:rsidR="0003479B">
        <w:rPr>
          <w:rFonts w:eastAsia="Times New Roman"/>
          <w:szCs w:val="24"/>
        </w:rPr>
        <w:t> </w:t>
      </w:r>
      <w:r w:rsidRPr="00117FC4">
        <w:rPr>
          <w:rFonts w:eastAsia="Times New Roman"/>
          <w:szCs w:val="24"/>
        </w:rPr>
        <w:t xml:space="preserve"> instytucjach zarządzających programami (dalej IZ), jednak należy wprowadzić w ustawie o</w:t>
      </w:r>
      <w:r w:rsidR="0003479B">
        <w:rPr>
          <w:rFonts w:eastAsia="Times New Roman"/>
          <w:szCs w:val="24"/>
        </w:rPr>
        <w:t> </w:t>
      </w:r>
      <w:r w:rsidRPr="00117FC4">
        <w:rPr>
          <w:rFonts w:eastAsia="Times New Roman"/>
          <w:szCs w:val="24"/>
        </w:rPr>
        <w:t xml:space="preserve"> RLKS przepisy umożliwiające zastosowanie procedury odwoławczej od oceny LSR na</w:t>
      </w:r>
      <w:r w:rsidR="005F24F0">
        <w:rPr>
          <w:rFonts w:eastAsia="Times New Roman"/>
          <w:szCs w:val="24"/>
        </w:rPr>
        <w:t> </w:t>
      </w:r>
      <w:r w:rsidRPr="00117FC4">
        <w:rPr>
          <w:rFonts w:eastAsia="Times New Roman"/>
          <w:szCs w:val="24"/>
        </w:rPr>
        <w:t xml:space="preserve"> poszczególnych etapach wyboru LSR. Należy także dążyć do ujednolicenia zasad wdrażania RLKS w ramach poszczególnych programów. W tym celu należy zadbać o jednolite podejście do przygotowania strategii, konkurencyjnego, wspólnego ich wyboru, zasad finansowania LSR, w tym m.in.: kosztów bieżących (identyczny zakres), jak najszerszego stosowania kosztów uproszczonych, ujednolicenia formularzy wniosków o przyznanie pomocy wraz z procedurami ich weryfikacji, a także stworzenie kompatybilnych informatycznych systemów wspierających obsługę wniosków.</w:t>
      </w:r>
    </w:p>
    <w:p w14:paraId="24F8B7C6" w14:textId="77777777" w:rsidR="004644C1" w:rsidRPr="00117FC4" w:rsidRDefault="004644C1" w:rsidP="005F24F0">
      <w:pPr>
        <w:widowControl/>
        <w:suppressAutoHyphens/>
        <w:autoSpaceDE/>
        <w:autoSpaceDN/>
        <w:adjustRightInd/>
        <w:spacing w:before="120"/>
        <w:jc w:val="both"/>
        <w:rPr>
          <w:rFonts w:eastAsia="Times New Roman"/>
          <w:szCs w:val="24"/>
        </w:rPr>
      </w:pPr>
      <w:r w:rsidRPr="00117FC4">
        <w:rPr>
          <w:rFonts w:eastAsia="Times New Roman"/>
          <w:szCs w:val="24"/>
        </w:rPr>
        <w:t>Ma to ogromne znaczenie dla potencjalnych beneficjentów wsparcia zarówno w ramach LSR monofunduszowych, jak i beneficjentów wsparcia LSR wielofunduszowej, finansowanych z</w:t>
      </w:r>
      <w:r w:rsidR="0003479B">
        <w:rPr>
          <w:rFonts w:eastAsia="Times New Roman"/>
          <w:szCs w:val="24"/>
        </w:rPr>
        <w:t> </w:t>
      </w:r>
      <w:r w:rsidRPr="00117FC4">
        <w:rPr>
          <w:rFonts w:eastAsia="Times New Roman"/>
          <w:szCs w:val="24"/>
        </w:rPr>
        <w:t xml:space="preserve"> różnych programów, którym trudno jest zrozumieć różnice w zasadach finansowania operacji w ramach poszczególnych funduszy, szczególnie gdy nie wynikają one z przepisów UE lecz rozwiązań krajowych. W celu ułatwienia realizacji projektów RLKS istnieje możliwość uregulowania na poziomie krajowym szczegółowych zasad kwalifikowalności, jak również innych wymogów dotyczących poszczególnych funduszy.</w:t>
      </w:r>
    </w:p>
    <w:p w14:paraId="74AEF54D" w14:textId="77777777" w:rsidR="004644C1" w:rsidRPr="00117FC4" w:rsidRDefault="004644C1" w:rsidP="00751BD6">
      <w:pPr>
        <w:widowControl/>
        <w:suppressAutoHyphens/>
        <w:autoSpaceDE/>
        <w:autoSpaceDN/>
        <w:adjustRightInd/>
        <w:spacing w:before="120"/>
        <w:jc w:val="both"/>
        <w:rPr>
          <w:rFonts w:eastAsia="Times New Roman"/>
          <w:szCs w:val="24"/>
        </w:rPr>
      </w:pPr>
      <w:r w:rsidRPr="00117FC4">
        <w:rPr>
          <w:rFonts w:eastAsia="Times New Roman"/>
          <w:szCs w:val="24"/>
        </w:rPr>
        <w:t>Projektowana zmiana ma więc na celu:</w:t>
      </w:r>
    </w:p>
    <w:p w14:paraId="77058B06" w14:textId="77777777" w:rsidR="004644C1" w:rsidRPr="00117FC4" w:rsidRDefault="004644C1" w:rsidP="004644C1">
      <w:pPr>
        <w:widowControl/>
        <w:numPr>
          <w:ilvl w:val="0"/>
          <w:numId w:val="1"/>
        </w:numPr>
        <w:suppressAutoHyphens/>
        <w:autoSpaceDE/>
        <w:autoSpaceDN/>
        <w:adjustRightInd/>
        <w:spacing w:before="120"/>
        <w:ind w:left="426"/>
        <w:contextualSpacing/>
        <w:jc w:val="both"/>
        <w:rPr>
          <w:rFonts w:eastAsia="Times New Roman"/>
          <w:szCs w:val="24"/>
        </w:rPr>
      </w:pPr>
      <w:r w:rsidRPr="00117FC4">
        <w:rPr>
          <w:rFonts w:eastAsia="Times New Roman"/>
          <w:szCs w:val="24"/>
        </w:rPr>
        <w:t>umożliwienie uruchomienia wsparcia przygotowawczego w ramach PROW 2014–2020 na</w:t>
      </w:r>
      <w:r w:rsidR="005F24F0">
        <w:rPr>
          <w:rFonts w:eastAsia="Times New Roman"/>
          <w:szCs w:val="24"/>
        </w:rPr>
        <w:t> </w:t>
      </w:r>
      <w:r w:rsidRPr="00117FC4">
        <w:rPr>
          <w:rFonts w:eastAsia="Times New Roman"/>
          <w:szCs w:val="24"/>
        </w:rPr>
        <w:t xml:space="preserve"> stworzenie nowych LSR, które będą realizowane w kolejnej perspektywie (2021–2027, choć w praktyce będą to lata 2023–2027);</w:t>
      </w:r>
    </w:p>
    <w:p w14:paraId="2AB34F5B" w14:textId="77777777" w:rsidR="004644C1" w:rsidRPr="00117FC4" w:rsidRDefault="004644C1" w:rsidP="004644C1">
      <w:pPr>
        <w:widowControl/>
        <w:numPr>
          <w:ilvl w:val="0"/>
          <w:numId w:val="1"/>
        </w:numPr>
        <w:suppressAutoHyphens/>
        <w:autoSpaceDE/>
        <w:autoSpaceDN/>
        <w:adjustRightInd/>
        <w:spacing w:before="120"/>
        <w:ind w:left="426"/>
        <w:contextualSpacing/>
        <w:jc w:val="both"/>
        <w:rPr>
          <w:rFonts w:eastAsia="Times New Roman"/>
          <w:szCs w:val="24"/>
        </w:rPr>
      </w:pPr>
      <w:r w:rsidRPr="00117FC4">
        <w:rPr>
          <w:rFonts w:eastAsia="Times New Roman"/>
          <w:szCs w:val="24"/>
        </w:rPr>
        <w:lastRenderedPageBreak/>
        <w:t>uruchomienie wsparcia przygotowawczego w ramach programów realizowanych w</w:t>
      </w:r>
      <w:r w:rsidR="0003479B">
        <w:rPr>
          <w:rFonts w:eastAsia="Times New Roman"/>
          <w:szCs w:val="24"/>
        </w:rPr>
        <w:t> </w:t>
      </w:r>
      <w:r w:rsidRPr="00117FC4">
        <w:rPr>
          <w:rFonts w:eastAsia="Times New Roman"/>
          <w:szCs w:val="24"/>
        </w:rPr>
        <w:t xml:space="preserve"> ramach RLKS w kolejnej perspektywie (2021–2027);</w:t>
      </w:r>
    </w:p>
    <w:p w14:paraId="3BF8185F" w14:textId="77777777" w:rsidR="004644C1" w:rsidRPr="00117FC4" w:rsidRDefault="004644C1" w:rsidP="004644C1">
      <w:pPr>
        <w:widowControl/>
        <w:numPr>
          <w:ilvl w:val="0"/>
          <w:numId w:val="1"/>
        </w:numPr>
        <w:suppressAutoHyphens/>
        <w:autoSpaceDE/>
        <w:autoSpaceDN/>
        <w:adjustRightInd/>
        <w:spacing w:before="120"/>
        <w:ind w:left="426"/>
        <w:contextualSpacing/>
        <w:jc w:val="both"/>
        <w:rPr>
          <w:rFonts w:eastAsia="Times New Roman"/>
          <w:szCs w:val="24"/>
        </w:rPr>
      </w:pPr>
      <w:r w:rsidRPr="00117FC4">
        <w:rPr>
          <w:rFonts w:eastAsia="Times New Roman"/>
          <w:szCs w:val="24"/>
        </w:rPr>
        <w:t>ujednolicenie podejścia do przygotowania LSR oraz określenia nowych zasad i trybu konkurencyjnego wyboru wielofunduszowych LSR</w:t>
      </w:r>
      <w:r w:rsidRPr="00117FC4" w:rsidDel="00E75893">
        <w:rPr>
          <w:rFonts w:eastAsia="Times New Roman"/>
          <w:szCs w:val="24"/>
        </w:rPr>
        <w:t xml:space="preserve"> </w:t>
      </w:r>
      <w:r w:rsidRPr="00117FC4">
        <w:rPr>
          <w:rFonts w:eastAsia="Times New Roman"/>
          <w:szCs w:val="24"/>
        </w:rPr>
        <w:t>po 2020 roku, przy jednoczesnym wyłączeniu spod regulacji ustawy o RLKS Europejskiego Funduszu Morskiego, Rybackiego i Akwakultury (EFMRA) na lata 2021–2027;</w:t>
      </w:r>
    </w:p>
    <w:p w14:paraId="37CBC4D6" w14:textId="77777777" w:rsidR="004644C1" w:rsidRPr="00117FC4" w:rsidRDefault="004644C1" w:rsidP="004644C1">
      <w:pPr>
        <w:numPr>
          <w:ilvl w:val="0"/>
          <w:numId w:val="1"/>
        </w:numPr>
        <w:suppressAutoHyphens/>
        <w:spacing w:before="120"/>
        <w:ind w:left="426"/>
        <w:contextualSpacing/>
        <w:jc w:val="both"/>
        <w:rPr>
          <w:rFonts w:eastAsia="Times New Roman"/>
          <w:szCs w:val="24"/>
        </w:rPr>
      </w:pPr>
      <w:r w:rsidRPr="00117FC4">
        <w:rPr>
          <w:rFonts w:eastAsia="Times New Roman"/>
          <w:szCs w:val="24"/>
        </w:rPr>
        <w:t xml:space="preserve">umożliwienie jak najszybszego ogłoszenia i przeprowadzenia wspólnego dla EFRROW oraz innych funduszy </w:t>
      </w:r>
      <w:r w:rsidR="0003479B">
        <w:rPr>
          <w:rFonts w:eastAsia="Times New Roman"/>
          <w:szCs w:val="24"/>
        </w:rPr>
        <w:t xml:space="preserve">(z wyłączeniem EFMRA) </w:t>
      </w:r>
      <w:r w:rsidRPr="00117FC4">
        <w:rPr>
          <w:rFonts w:eastAsia="Times New Roman"/>
          <w:szCs w:val="24"/>
        </w:rPr>
        <w:t>wyboru nowych LSR.</w:t>
      </w:r>
    </w:p>
    <w:p w14:paraId="1F4B14CB" w14:textId="77777777" w:rsidR="004644C1" w:rsidRPr="00117FC4" w:rsidRDefault="004644C1" w:rsidP="00751BD6">
      <w:pPr>
        <w:widowControl/>
        <w:suppressAutoHyphens/>
        <w:autoSpaceDE/>
        <w:autoSpaceDN/>
        <w:adjustRightInd/>
        <w:spacing w:before="120"/>
        <w:jc w:val="both"/>
        <w:rPr>
          <w:rFonts w:eastAsia="Times New Roman"/>
          <w:szCs w:val="24"/>
        </w:rPr>
      </w:pPr>
      <w:r w:rsidRPr="00117FC4">
        <w:rPr>
          <w:rFonts w:eastAsia="Times New Roman"/>
          <w:szCs w:val="24"/>
        </w:rPr>
        <w:t>Mając na uwadze LSR wielofunduszowe oraz możliwość finansowania wsparcia przygotowawczego tych LSR z EFRROW, należy dążyć do jak najszybszego uruchomienia wsparcia przygotowawczego. Zakłada się uruchomienie wsparcia przygotowawczego z</w:t>
      </w:r>
      <w:r w:rsidR="0003479B">
        <w:rPr>
          <w:rFonts w:eastAsia="Times New Roman"/>
          <w:szCs w:val="24"/>
        </w:rPr>
        <w:t> </w:t>
      </w:r>
      <w:r w:rsidRPr="00117FC4">
        <w:rPr>
          <w:rFonts w:eastAsia="Times New Roman"/>
          <w:szCs w:val="24"/>
        </w:rPr>
        <w:t xml:space="preserve"> końcem roku 2021, natomiast wybór LSR przewiduje się na przełom roku 2022 i 2023. </w:t>
      </w:r>
    </w:p>
    <w:p w14:paraId="1E697B6D" w14:textId="77777777" w:rsidR="004644C1" w:rsidRPr="00117FC4" w:rsidRDefault="004644C1" w:rsidP="004644C1">
      <w:pPr>
        <w:widowControl/>
        <w:suppressAutoHyphens/>
        <w:autoSpaceDE/>
        <w:autoSpaceDN/>
        <w:adjustRightInd/>
        <w:spacing w:before="120"/>
        <w:jc w:val="both"/>
        <w:rPr>
          <w:rFonts w:eastAsia="Times New Roman"/>
          <w:szCs w:val="24"/>
        </w:rPr>
      </w:pPr>
      <w:r w:rsidRPr="00117FC4">
        <w:rPr>
          <w:rFonts w:eastAsia="Times New Roman"/>
          <w:szCs w:val="24"/>
        </w:rPr>
        <w:t xml:space="preserve">W przypadku RLKS wielofunduszowego, wstrzymanie się z wypłatą wsparcia przygotowawczego do czasu zatwierdzenia Planu Strategicznego WPR na lata 2023–2027, oznaczałoby zbyt duże opóźnienie we wdrażaniu tego Planu w odniesieniu do pozostałych funduszy. Przyjęcie proponowanego rozwiązania pozwala przyspieszyć rozpoczęcie wdrażania strategii wielofunduszowych, z minimalnym opóźnieniem w zakresie wdrożenia komponentu rolnego względem pozostałych funduszy. </w:t>
      </w:r>
    </w:p>
    <w:p w14:paraId="4FB0C99B" w14:textId="77777777" w:rsidR="004644C1" w:rsidRPr="00117FC4" w:rsidRDefault="004644C1" w:rsidP="00751BD6">
      <w:pPr>
        <w:widowControl/>
        <w:suppressAutoHyphens/>
        <w:autoSpaceDE/>
        <w:autoSpaceDN/>
        <w:adjustRightInd/>
        <w:spacing w:before="120"/>
        <w:jc w:val="both"/>
        <w:rPr>
          <w:rFonts w:eastAsia="Times New Roman"/>
          <w:szCs w:val="24"/>
        </w:rPr>
      </w:pPr>
      <w:r w:rsidRPr="00117FC4">
        <w:rPr>
          <w:rFonts w:eastAsia="Times New Roman"/>
          <w:szCs w:val="24"/>
        </w:rPr>
        <w:t>Mając powyższe na uwadze proponuje się:</w:t>
      </w:r>
    </w:p>
    <w:p w14:paraId="4C332450" w14:textId="77777777" w:rsidR="004644C1" w:rsidRPr="00117FC4" w:rsidRDefault="004644C1" w:rsidP="004644C1">
      <w:pPr>
        <w:widowControl/>
        <w:numPr>
          <w:ilvl w:val="0"/>
          <w:numId w:val="2"/>
        </w:numPr>
        <w:suppressAutoHyphens/>
        <w:autoSpaceDE/>
        <w:autoSpaceDN/>
        <w:adjustRightInd/>
        <w:spacing w:before="120"/>
        <w:ind w:left="426" w:hanging="426"/>
        <w:contextualSpacing/>
        <w:jc w:val="both"/>
        <w:rPr>
          <w:rFonts w:eastAsia="Times New Roman"/>
          <w:szCs w:val="24"/>
        </w:rPr>
      </w:pPr>
      <w:r w:rsidRPr="00117FC4">
        <w:rPr>
          <w:rFonts w:eastAsia="Times New Roman"/>
          <w:szCs w:val="24"/>
        </w:rPr>
        <w:t>aktualizację ustawy RLKS w zakresie:</w:t>
      </w:r>
    </w:p>
    <w:p w14:paraId="6104E535" w14:textId="4A4EB630" w:rsidR="004644C1" w:rsidRPr="00117FC4" w:rsidRDefault="004644C1" w:rsidP="004644C1">
      <w:pPr>
        <w:pStyle w:val="LITlitera"/>
        <w:rPr>
          <w:rFonts w:eastAsia="Times New Roman"/>
        </w:rPr>
      </w:pPr>
      <w:r w:rsidRPr="00117FC4">
        <w:rPr>
          <w:rFonts w:eastAsia="Times New Roman"/>
        </w:rPr>
        <w:t>a)</w:t>
      </w:r>
      <w:r w:rsidRPr="00117FC4">
        <w:rPr>
          <w:rFonts w:eastAsia="Times New Roman"/>
        </w:rPr>
        <w:tab/>
        <w:t>wejścia w życie nowej podstawy prawnej</w:t>
      </w:r>
      <w:r w:rsidR="0003479B">
        <w:rPr>
          <w:rFonts w:eastAsia="Times New Roman"/>
        </w:rPr>
        <w:t>,</w:t>
      </w:r>
      <w:r w:rsidRPr="00117FC4">
        <w:rPr>
          <w:rFonts w:eastAsia="Times New Roman"/>
        </w:rPr>
        <w:t xml:space="preserve"> </w:t>
      </w:r>
      <w:r w:rsidR="0003479B" w:rsidRPr="00117FC4">
        <w:rPr>
          <w:rFonts w:eastAsia="Times New Roman"/>
        </w:rPr>
        <w:t>tj.</w:t>
      </w:r>
      <w:r w:rsidR="0003479B">
        <w:rPr>
          <w:rFonts w:eastAsia="Times New Roman"/>
        </w:rPr>
        <w:t> </w:t>
      </w:r>
      <w:r w:rsidR="0003479B" w:rsidRPr="00117FC4">
        <w:rPr>
          <w:rFonts w:eastAsia="Times New Roman"/>
        </w:rPr>
        <w:t xml:space="preserve"> rozporządzenia Parlamentu Europejskiego i Rady (UE) nr ………… z dnia ………. 2021 r. ustanawiającego wspólne przepisy dotyczące Europejskiego Funduszu Rozwoju Regionalnego, Europejskiego Funduszu Społecznego Plus, Funduszu Spójności i Europejskiego Funduszu Morskiego i Rybackiego</w:t>
      </w:r>
      <w:r w:rsidRPr="00117FC4">
        <w:rPr>
          <w:rFonts w:eastAsia="Times New Roman"/>
        </w:rPr>
        <w:t xml:space="preserve">, a także przepisy finansowe na potrzeby tych funduszy oraz na potrzeby Funduszu Azylu i Migracji, Funduszu Bezpieczeństwa Wewnętrznego i Instrumentu na rzecz Zarządzania Granicami i Wiz (Dz. Urz. UE ………), zwanego dalej „rozporządzeniem CPR”, oraz implementacji jej zmienionych przepisów dla RLKS (art. </w:t>
      </w:r>
      <w:r w:rsidR="00BC551A">
        <w:rPr>
          <w:rFonts w:eastAsia="Times New Roman"/>
        </w:rPr>
        <w:t>4</w:t>
      </w:r>
      <w:r w:rsidR="00BC551A" w:rsidRPr="00117FC4">
        <w:rPr>
          <w:rFonts w:eastAsia="Times New Roman"/>
        </w:rPr>
        <w:t xml:space="preserve"> </w:t>
      </w:r>
      <w:r w:rsidRPr="00117FC4">
        <w:rPr>
          <w:rFonts w:eastAsia="Times New Roman"/>
        </w:rPr>
        <w:t>pkt 1 projektowanej ustawy zmieniający art. 1 ust.1 pkt 1 ustawy o RLKS oraz odpowiednio w tekście ustawy o RLKS),</w:t>
      </w:r>
    </w:p>
    <w:p w14:paraId="13D9FB6C" w14:textId="2720ED5D" w:rsidR="007652A7" w:rsidRDefault="004644C1" w:rsidP="004644C1">
      <w:pPr>
        <w:pStyle w:val="LITlitera"/>
        <w:rPr>
          <w:rFonts w:ascii="Times New Roman" w:eastAsia="Times New Roman" w:hAnsi="Times New Roman"/>
          <w:szCs w:val="24"/>
        </w:rPr>
      </w:pPr>
      <w:r w:rsidRPr="00117FC4">
        <w:rPr>
          <w:rFonts w:eastAsia="Times New Roman"/>
        </w:rPr>
        <w:t>b)</w:t>
      </w:r>
      <w:r w:rsidRPr="00117FC4">
        <w:rPr>
          <w:rFonts w:eastAsia="Times New Roman"/>
        </w:rPr>
        <w:tab/>
      </w:r>
      <w:r w:rsidR="007652A7" w:rsidRPr="00117FC4">
        <w:rPr>
          <w:rFonts w:eastAsia="Times New Roman"/>
        </w:rPr>
        <w:t>wyłączenia</w:t>
      </w:r>
      <w:r w:rsidR="007652A7" w:rsidRPr="00117FC4">
        <w:rPr>
          <w:rFonts w:ascii="Times New Roman" w:eastAsia="Times New Roman" w:hAnsi="Times New Roman"/>
          <w:szCs w:val="24"/>
        </w:rPr>
        <w:t xml:space="preserve"> spod regulacji ustawy o RLKS EFMRA na lata 2021–2027 (</w:t>
      </w:r>
      <w:r w:rsidR="007652A7" w:rsidRPr="00D41084">
        <w:rPr>
          <w:rFonts w:ascii="Times New Roman" w:eastAsia="Times New Roman" w:hAnsi="Times New Roman"/>
          <w:szCs w:val="24"/>
        </w:rPr>
        <w:t xml:space="preserve">art. </w:t>
      </w:r>
      <w:r w:rsidR="00BC551A">
        <w:rPr>
          <w:rFonts w:ascii="Times New Roman" w:eastAsia="Times New Roman" w:hAnsi="Times New Roman"/>
          <w:szCs w:val="24"/>
        </w:rPr>
        <w:t>4</w:t>
      </w:r>
      <w:r w:rsidR="007652A7" w:rsidRPr="00D41084">
        <w:rPr>
          <w:rFonts w:ascii="Times New Roman" w:eastAsia="Times New Roman" w:hAnsi="Times New Roman"/>
          <w:szCs w:val="24"/>
        </w:rPr>
        <w:t xml:space="preserve"> pkt 2</w:t>
      </w:r>
      <w:r w:rsidR="007652A7" w:rsidRPr="00117FC4">
        <w:rPr>
          <w:rFonts w:ascii="Times New Roman" w:eastAsia="Times New Roman" w:hAnsi="Times New Roman"/>
          <w:szCs w:val="24"/>
        </w:rPr>
        <w:t xml:space="preserve"> projektowanej ustawy wprowadzający </w:t>
      </w:r>
      <w:r w:rsidR="007652A7" w:rsidRPr="00D41084">
        <w:rPr>
          <w:rFonts w:ascii="Times New Roman" w:eastAsia="Times New Roman" w:hAnsi="Times New Roman"/>
          <w:szCs w:val="24"/>
        </w:rPr>
        <w:t>nowy art. 1a</w:t>
      </w:r>
      <w:r w:rsidR="007652A7" w:rsidRPr="00117FC4">
        <w:rPr>
          <w:rFonts w:ascii="Times New Roman" w:eastAsia="Times New Roman" w:hAnsi="Times New Roman"/>
          <w:szCs w:val="24"/>
        </w:rPr>
        <w:t xml:space="preserve"> ustawy o RLKS</w:t>
      </w:r>
      <w:r w:rsidR="007652A7">
        <w:rPr>
          <w:rFonts w:ascii="Times New Roman" w:eastAsia="Times New Roman" w:hAnsi="Times New Roman"/>
          <w:szCs w:val="24"/>
        </w:rPr>
        <w:t xml:space="preserve">, </w:t>
      </w:r>
      <w:r w:rsidR="007652A7" w:rsidRPr="00117FC4">
        <w:rPr>
          <w:rFonts w:ascii="Times New Roman" w:eastAsia="Times New Roman" w:hAnsi="Times New Roman"/>
          <w:szCs w:val="24"/>
        </w:rPr>
        <w:t xml:space="preserve">oraz </w:t>
      </w:r>
      <w:r w:rsidR="007652A7">
        <w:rPr>
          <w:rFonts w:ascii="Times New Roman" w:eastAsia="Times New Roman" w:hAnsi="Times New Roman"/>
          <w:szCs w:val="24"/>
        </w:rPr>
        <w:t xml:space="preserve">art. </w:t>
      </w:r>
      <w:r w:rsidR="00BC551A">
        <w:rPr>
          <w:rFonts w:ascii="Times New Roman" w:eastAsia="Times New Roman" w:hAnsi="Times New Roman"/>
          <w:szCs w:val="24"/>
        </w:rPr>
        <w:t xml:space="preserve">4 </w:t>
      </w:r>
      <w:r w:rsidR="007652A7">
        <w:rPr>
          <w:rFonts w:ascii="Times New Roman" w:eastAsia="Times New Roman" w:hAnsi="Times New Roman"/>
          <w:szCs w:val="24"/>
        </w:rPr>
        <w:t>pkt</w:t>
      </w:r>
      <w:r w:rsidR="00C704D8">
        <w:rPr>
          <w:rFonts w:ascii="Times New Roman" w:eastAsia="Times New Roman" w:hAnsi="Times New Roman"/>
          <w:szCs w:val="24"/>
        </w:rPr>
        <w:t> </w:t>
      </w:r>
      <w:r w:rsidR="007652A7">
        <w:rPr>
          <w:rFonts w:ascii="Times New Roman" w:eastAsia="Times New Roman" w:hAnsi="Times New Roman"/>
          <w:szCs w:val="24"/>
        </w:rPr>
        <w:t xml:space="preserve"> </w:t>
      </w:r>
      <w:r w:rsidR="007652A7" w:rsidRPr="00D41084">
        <w:rPr>
          <w:rFonts w:ascii="Times New Roman" w:eastAsia="Times New Roman" w:hAnsi="Times New Roman"/>
          <w:szCs w:val="24"/>
        </w:rPr>
        <w:t>8,</w:t>
      </w:r>
      <w:r w:rsidR="007652A7">
        <w:rPr>
          <w:rFonts w:ascii="Times New Roman" w:eastAsia="Times New Roman" w:hAnsi="Times New Roman"/>
          <w:szCs w:val="24"/>
        </w:rPr>
        <w:t xml:space="preserve"> </w:t>
      </w:r>
      <w:r w:rsidR="007652A7" w:rsidRPr="00D41084">
        <w:rPr>
          <w:rFonts w:ascii="Times New Roman" w:eastAsia="Times New Roman" w:hAnsi="Times New Roman"/>
          <w:szCs w:val="24"/>
        </w:rPr>
        <w:t>16 lit</w:t>
      </w:r>
      <w:r w:rsidR="00567D41">
        <w:rPr>
          <w:rFonts w:ascii="Times New Roman" w:eastAsia="Times New Roman" w:hAnsi="Times New Roman"/>
          <w:szCs w:val="24"/>
        </w:rPr>
        <w:t>.</w:t>
      </w:r>
      <w:r w:rsidR="007652A7" w:rsidRPr="00D41084">
        <w:rPr>
          <w:rFonts w:ascii="Times New Roman" w:eastAsia="Times New Roman" w:hAnsi="Times New Roman"/>
          <w:szCs w:val="24"/>
        </w:rPr>
        <w:t xml:space="preserve"> c i pkt 17</w:t>
      </w:r>
      <w:r w:rsidR="007652A7">
        <w:rPr>
          <w:rFonts w:ascii="Times New Roman" w:eastAsia="Times New Roman" w:hAnsi="Times New Roman"/>
          <w:szCs w:val="24"/>
        </w:rPr>
        <w:t xml:space="preserve"> </w:t>
      </w:r>
      <w:r w:rsidR="007652A7" w:rsidRPr="00117FC4">
        <w:rPr>
          <w:rFonts w:ascii="Times New Roman" w:eastAsia="Times New Roman" w:hAnsi="Times New Roman"/>
          <w:szCs w:val="24"/>
        </w:rPr>
        <w:t xml:space="preserve">projektowanej ustawy </w:t>
      </w:r>
      <w:r w:rsidR="007652A7">
        <w:rPr>
          <w:rFonts w:ascii="Times New Roman" w:eastAsia="Times New Roman" w:hAnsi="Times New Roman"/>
          <w:szCs w:val="24"/>
        </w:rPr>
        <w:t xml:space="preserve">modyfikując </w:t>
      </w:r>
      <w:r w:rsidR="007652A7" w:rsidRPr="00D41084">
        <w:rPr>
          <w:rFonts w:ascii="Times New Roman" w:eastAsia="Times New Roman" w:hAnsi="Times New Roman"/>
          <w:szCs w:val="24"/>
        </w:rPr>
        <w:t>art. 7,</w:t>
      </w:r>
      <w:r w:rsidR="007652A7">
        <w:rPr>
          <w:rFonts w:ascii="Times New Roman" w:eastAsia="Times New Roman" w:hAnsi="Times New Roman"/>
          <w:szCs w:val="24"/>
        </w:rPr>
        <w:t xml:space="preserve"> </w:t>
      </w:r>
      <w:r w:rsidR="007652A7" w:rsidRPr="00D41084">
        <w:rPr>
          <w:rFonts w:ascii="Times New Roman" w:eastAsia="Times New Roman" w:hAnsi="Times New Roman"/>
          <w:szCs w:val="24"/>
        </w:rPr>
        <w:t>art. 14 ust. 2 i</w:t>
      </w:r>
      <w:r w:rsidR="007652A7">
        <w:rPr>
          <w:rFonts w:ascii="Times New Roman" w:eastAsia="Times New Roman" w:hAnsi="Times New Roman"/>
          <w:szCs w:val="24"/>
        </w:rPr>
        <w:t xml:space="preserve"> </w:t>
      </w:r>
      <w:r w:rsidR="007652A7" w:rsidRPr="00D41084">
        <w:rPr>
          <w:rFonts w:ascii="Times New Roman" w:eastAsia="Times New Roman" w:hAnsi="Times New Roman"/>
          <w:szCs w:val="24"/>
        </w:rPr>
        <w:t xml:space="preserve">art. 15 ust. </w:t>
      </w:r>
      <w:r w:rsidR="007652A7" w:rsidRPr="00D41084">
        <w:rPr>
          <w:rFonts w:ascii="Times New Roman" w:eastAsia="Times New Roman" w:hAnsi="Times New Roman"/>
          <w:szCs w:val="24"/>
        </w:rPr>
        <w:lastRenderedPageBreak/>
        <w:t>1</w:t>
      </w:r>
      <w:r w:rsidR="007652A7">
        <w:rPr>
          <w:rFonts w:ascii="Times New Roman" w:eastAsia="Times New Roman" w:hAnsi="Times New Roman"/>
          <w:szCs w:val="24"/>
        </w:rPr>
        <w:t xml:space="preserve"> ustawy o RLKS w zakresie wyłączenia </w:t>
      </w:r>
      <w:r w:rsidR="007652A7" w:rsidRPr="005C0BE0">
        <w:rPr>
          <w:rFonts w:ascii="Times New Roman" w:eastAsia="Times New Roman" w:hAnsi="Times New Roman"/>
          <w:szCs w:val="24"/>
        </w:rPr>
        <w:t>ministr</w:t>
      </w:r>
      <w:r w:rsidR="007652A7">
        <w:rPr>
          <w:rFonts w:ascii="Times New Roman" w:eastAsia="Times New Roman" w:hAnsi="Times New Roman"/>
          <w:szCs w:val="24"/>
        </w:rPr>
        <w:t>a</w:t>
      </w:r>
      <w:r w:rsidR="007652A7" w:rsidRPr="005C0BE0">
        <w:rPr>
          <w:rFonts w:ascii="Times New Roman" w:eastAsia="Times New Roman" w:hAnsi="Times New Roman"/>
          <w:szCs w:val="24"/>
        </w:rPr>
        <w:t xml:space="preserve"> właściw</w:t>
      </w:r>
      <w:r w:rsidR="007652A7">
        <w:rPr>
          <w:rFonts w:ascii="Times New Roman" w:eastAsia="Times New Roman" w:hAnsi="Times New Roman"/>
          <w:szCs w:val="24"/>
        </w:rPr>
        <w:t xml:space="preserve">ego </w:t>
      </w:r>
      <w:r w:rsidR="007652A7" w:rsidRPr="005C0BE0">
        <w:rPr>
          <w:rFonts w:ascii="Times New Roman" w:eastAsia="Times New Roman" w:hAnsi="Times New Roman"/>
          <w:szCs w:val="24"/>
        </w:rPr>
        <w:t>do spraw rybołówstwa</w:t>
      </w:r>
      <w:r w:rsidR="007652A7">
        <w:rPr>
          <w:rFonts w:ascii="Times New Roman" w:eastAsia="Times New Roman" w:hAnsi="Times New Roman"/>
          <w:szCs w:val="24"/>
        </w:rPr>
        <w:t xml:space="preserve"> oraz </w:t>
      </w:r>
      <w:r w:rsidR="007652A7" w:rsidRPr="00D41084">
        <w:rPr>
          <w:rFonts w:ascii="Times New Roman" w:eastAsia="Times New Roman" w:hAnsi="Times New Roman"/>
          <w:szCs w:val="24"/>
        </w:rPr>
        <w:t xml:space="preserve">art. </w:t>
      </w:r>
      <w:r w:rsidR="003A21D7">
        <w:rPr>
          <w:rFonts w:ascii="Times New Roman" w:eastAsia="Times New Roman" w:hAnsi="Times New Roman"/>
          <w:szCs w:val="24"/>
        </w:rPr>
        <w:t>9</w:t>
      </w:r>
      <w:r w:rsidR="003A21D7" w:rsidRPr="00D41084">
        <w:rPr>
          <w:rFonts w:ascii="Times New Roman" w:eastAsia="Times New Roman" w:hAnsi="Times New Roman"/>
          <w:szCs w:val="24"/>
        </w:rPr>
        <w:t xml:space="preserve"> </w:t>
      </w:r>
      <w:r w:rsidR="007652A7" w:rsidRPr="00D41084">
        <w:rPr>
          <w:rFonts w:ascii="Times New Roman" w:eastAsia="Times New Roman" w:hAnsi="Times New Roman"/>
          <w:szCs w:val="24"/>
        </w:rPr>
        <w:t>projektowanej</w:t>
      </w:r>
      <w:r w:rsidR="007652A7" w:rsidRPr="00117FC4">
        <w:rPr>
          <w:rFonts w:ascii="Times New Roman" w:eastAsia="Times New Roman" w:hAnsi="Times New Roman"/>
          <w:szCs w:val="24"/>
        </w:rPr>
        <w:t xml:space="preserve"> ustawy w zakresie przepisów przejściowych)</w:t>
      </w:r>
      <w:r w:rsidR="007652A7">
        <w:rPr>
          <w:rFonts w:ascii="Times New Roman" w:eastAsia="Times New Roman" w:hAnsi="Times New Roman"/>
          <w:szCs w:val="24"/>
        </w:rPr>
        <w:t>,</w:t>
      </w:r>
    </w:p>
    <w:p w14:paraId="5D96866E" w14:textId="77777777" w:rsidR="00692639" w:rsidRDefault="007652A7" w:rsidP="007652A7">
      <w:pPr>
        <w:pStyle w:val="LITlitera"/>
        <w:rPr>
          <w:rFonts w:eastAsia="Times New Roman"/>
        </w:rPr>
      </w:pPr>
      <w:r>
        <w:rPr>
          <w:rFonts w:eastAsia="Times New Roman"/>
        </w:rPr>
        <w:t>c)</w:t>
      </w:r>
      <w:r>
        <w:rPr>
          <w:rFonts w:eastAsia="Times New Roman"/>
        </w:rPr>
        <w:tab/>
      </w:r>
      <w:r w:rsidR="00692639">
        <w:rPr>
          <w:rFonts w:eastAsia="Times New Roman"/>
        </w:rPr>
        <w:t>redefinicji pojęcia:</w:t>
      </w:r>
    </w:p>
    <w:p w14:paraId="6EC78E43" w14:textId="353EE0D4" w:rsidR="00692639" w:rsidRDefault="00692639" w:rsidP="00E9463F">
      <w:pPr>
        <w:pStyle w:val="LITlitera"/>
        <w:ind w:firstLine="0"/>
        <w:rPr>
          <w:rFonts w:eastAsia="Times New Roman"/>
        </w:rPr>
      </w:pPr>
      <w:r>
        <w:rPr>
          <w:rFonts w:eastAsia="Times New Roman"/>
        </w:rPr>
        <w:t>-</w:t>
      </w:r>
      <w:r w:rsidR="0041544D">
        <w:rPr>
          <w:rFonts w:eastAsia="Times New Roman"/>
        </w:rPr>
        <w:tab/>
      </w:r>
      <w:r>
        <w:rPr>
          <w:rFonts w:eastAsia="Times New Roman"/>
        </w:rPr>
        <w:t>„EFSI” (art. 4 pkt 1 lit b tiret trzecie projektowanej ustawy nadający nowe brzmienie art. 1 pkt 2 lit. c ustawy o RLKS)</w:t>
      </w:r>
      <w:r w:rsidR="0041544D">
        <w:rPr>
          <w:rFonts w:eastAsia="Times New Roman"/>
        </w:rPr>
        <w:t>,</w:t>
      </w:r>
      <w:r>
        <w:rPr>
          <w:rFonts w:eastAsia="Times New Roman"/>
        </w:rPr>
        <w:t xml:space="preserve"> </w:t>
      </w:r>
    </w:p>
    <w:p w14:paraId="5E41EC8E" w14:textId="336AA566" w:rsidR="00692639" w:rsidRDefault="00692639" w:rsidP="00E9463F">
      <w:pPr>
        <w:pStyle w:val="LITlitera"/>
        <w:ind w:firstLine="0"/>
        <w:rPr>
          <w:rFonts w:eastAsia="Times New Roman"/>
        </w:rPr>
      </w:pPr>
      <w:r>
        <w:rPr>
          <w:rFonts w:eastAsia="Times New Roman"/>
        </w:rPr>
        <w:t>-</w:t>
      </w:r>
      <w:r w:rsidR="0041544D">
        <w:rPr>
          <w:rFonts w:eastAsia="Times New Roman"/>
        </w:rPr>
        <w:tab/>
      </w:r>
      <w:r w:rsidR="007652A7">
        <w:rPr>
          <w:rFonts w:eastAsia="Times New Roman"/>
        </w:rPr>
        <w:t>„programy” (</w:t>
      </w:r>
      <w:r w:rsidR="007652A7" w:rsidRPr="00D41084">
        <w:rPr>
          <w:rFonts w:eastAsia="Times New Roman"/>
        </w:rPr>
        <w:t xml:space="preserve">art. </w:t>
      </w:r>
      <w:r w:rsidR="00BC551A">
        <w:rPr>
          <w:rFonts w:eastAsia="Times New Roman"/>
        </w:rPr>
        <w:t>4</w:t>
      </w:r>
      <w:r w:rsidR="00BC551A" w:rsidRPr="00D41084">
        <w:rPr>
          <w:rFonts w:eastAsia="Times New Roman"/>
        </w:rPr>
        <w:t xml:space="preserve"> </w:t>
      </w:r>
      <w:r w:rsidR="007652A7" w:rsidRPr="00D41084">
        <w:rPr>
          <w:rFonts w:eastAsia="Times New Roman"/>
        </w:rPr>
        <w:t>pkt 3</w:t>
      </w:r>
      <w:r w:rsidR="007652A7">
        <w:rPr>
          <w:rFonts w:eastAsia="Times New Roman"/>
        </w:rPr>
        <w:t xml:space="preserve"> </w:t>
      </w:r>
      <w:r w:rsidR="007652A7" w:rsidRPr="00117FC4">
        <w:rPr>
          <w:rFonts w:ascii="Times New Roman" w:eastAsia="Times New Roman" w:hAnsi="Times New Roman"/>
          <w:szCs w:val="24"/>
        </w:rPr>
        <w:t>projektowanej ustawy</w:t>
      </w:r>
      <w:r w:rsidR="007652A7">
        <w:rPr>
          <w:rFonts w:eastAsia="Times New Roman"/>
        </w:rPr>
        <w:t xml:space="preserve"> </w:t>
      </w:r>
      <w:r w:rsidR="007652A7">
        <w:rPr>
          <w:rFonts w:eastAsia="Times New Roman"/>
          <w:szCs w:val="24"/>
        </w:rPr>
        <w:t>nadający nowe brzmienie</w:t>
      </w:r>
      <w:r w:rsidR="007652A7" w:rsidRPr="00117FC4">
        <w:rPr>
          <w:rFonts w:eastAsia="Times New Roman"/>
          <w:szCs w:val="24"/>
        </w:rPr>
        <w:t xml:space="preserve"> </w:t>
      </w:r>
      <w:r w:rsidR="007652A7" w:rsidRPr="00D41084">
        <w:rPr>
          <w:rFonts w:eastAsia="Times New Roman"/>
          <w:szCs w:val="24"/>
        </w:rPr>
        <w:t>art. 2</w:t>
      </w:r>
      <w:r>
        <w:rPr>
          <w:rFonts w:eastAsia="Times New Roman"/>
          <w:szCs w:val="24"/>
        </w:rPr>
        <w:t xml:space="preserve"> ust 1</w:t>
      </w:r>
      <w:r w:rsidR="007652A7" w:rsidRPr="00D41084">
        <w:rPr>
          <w:rFonts w:eastAsia="Times New Roman"/>
          <w:szCs w:val="24"/>
        </w:rPr>
        <w:t xml:space="preserve"> </w:t>
      </w:r>
      <w:r w:rsidR="007652A7" w:rsidRPr="00961451">
        <w:rPr>
          <w:rFonts w:eastAsia="Times New Roman"/>
          <w:szCs w:val="24"/>
        </w:rPr>
        <w:t>ustawy o RLKS)</w:t>
      </w:r>
      <w:r w:rsidR="007652A7" w:rsidRPr="00961451">
        <w:rPr>
          <w:rFonts w:eastAsia="Times New Roman"/>
        </w:rPr>
        <w:t>,</w:t>
      </w:r>
    </w:p>
    <w:p w14:paraId="534A1783" w14:textId="1D5815EB" w:rsidR="006C539A" w:rsidRDefault="00692639" w:rsidP="00692639">
      <w:pPr>
        <w:pStyle w:val="LITlitera"/>
        <w:rPr>
          <w:rFonts w:eastAsia="Times New Roman"/>
        </w:rPr>
      </w:pPr>
      <w:r>
        <w:rPr>
          <w:rFonts w:eastAsia="Times New Roman"/>
        </w:rPr>
        <w:t>d)</w:t>
      </w:r>
      <w:r>
        <w:rPr>
          <w:rFonts w:eastAsia="Times New Roman"/>
        </w:rPr>
        <w:tab/>
        <w:t>zadań wykonywanych przez zarząd województwa (</w:t>
      </w:r>
      <w:r w:rsidRPr="00D41084">
        <w:rPr>
          <w:rFonts w:eastAsia="Times New Roman"/>
        </w:rPr>
        <w:t xml:space="preserve">art. </w:t>
      </w:r>
      <w:r>
        <w:rPr>
          <w:rFonts w:eastAsia="Times New Roman"/>
        </w:rPr>
        <w:t>4</w:t>
      </w:r>
      <w:r w:rsidRPr="00D41084">
        <w:rPr>
          <w:rFonts w:eastAsia="Times New Roman"/>
        </w:rPr>
        <w:t xml:space="preserve"> pkt 3</w:t>
      </w:r>
      <w:r>
        <w:rPr>
          <w:rFonts w:eastAsia="Times New Roman"/>
        </w:rPr>
        <w:t xml:space="preserve"> i  pkt 7 lit. a tiret drugie </w:t>
      </w:r>
      <w:r w:rsidRPr="00117FC4">
        <w:rPr>
          <w:rFonts w:ascii="Times New Roman" w:eastAsia="Times New Roman" w:hAnsi="Times New Roman"/>
          <w:szCs w:val="24"/>
        </w:rPr>
        <w:t>projektowanej ustawy</w:t>
      </w:r>
      <w:r>
        <w:rPr>
          <w:rFonts w:eastAsia="Times New Roman"/>
        </w:rPr>
        <w:t xml:space="preserve"> </w:t>
      </w:r>
      <w:r w:rsidR="00915114">
        <w:rPr>
          <w:rFonts w:eastAsia="Times New Roman"/>
          <w:szCs w:val="24"/>
        </w:rPr>
        <w:t>uchylający</w:t>
      </w:r>
      <w:r w:rsidRPr="00117FC4">
        <w:rPr>
          <w:rFonts w:eastAsia="Times New Roman"/>
          <w:szCs w:val="24"/>
        </w:rPr>
        <w:t xml:space="preserve"> </w:t>
      </w:r>
      <w:r w:rsidRPr="00D41084">
        <w:rPr>
          <w:rFonts w:eastAsia="Times New Roman"/>
          <w:szCs w:val="24"/>
        </w:rPr>
        <w:t>art. 2</w:t>
      </w:r>
      <w:r>
        <w:rPr>
          <w:rFonts w:eastAsia="Times New Roman"/>
          <w:szCs w:val="24"/>
        </w:rPr>
        <w:t xml:space="preserve"> u</w:t>
      </w:r>
      <w:r w:rsidR="00915114">
        <w:rPr>
          <w:rFonts w:eastAsia="Times New Roman"/>
          <w:szCs w:val="24"/>
        </w:rPr>
        <w:t xml:space="preserve">st. 2 </w:t>
      </w:r>
      <w:r w:rsidRPr="00961451">
        <w:rPr>
          <w:rFonts w:eastAsia="Times New Roman"/>
          <w:szCs w:val="24"/>
        </w:rPr>
        <w:t>ustawy o RLKS)</w:t>
      </w:r>
      <w:r>
        <w:rPr>
          <w:rFonts w:eastAsia="Times New Roman"/>
          <w:szCs w:val="24"/>
        </w:rPr>
        <w:t>,</w:t>
      </w:r>
    </w:p>
    <w:p w14:paraId="08877AB5" w14:textId="574DA65F" w:rsidR="007652A7" w:rsidRDefault="00692639" w:rsidP="007652A7">
      <w:pPr>
        <w:pStyle w:val="LITlitera"/>
      </w:pPr>
      <w:r>
        <w:rPr>
          <w:rFonts w:eastAsia="Times New Roman"/>
        </w:rPr>
        <w:t>e</w:t>
      </w:r>
      <w:r w:rsidR="007652A7">
        <w:rPr>
          <w:rFonts w:eastAsia="Times New Roman"/>
        </w:rPr>
        <w:t>)</w:t>
      </w:r>
      <w:r w:rsidR="007652A7">
        <w:rPr>
          <w:rFonts w:eastAsia="Times New Roman"/>
        </w:rPr>
        <w:tab/>
      </w:r>
      <w:r w:rsidR="007652A7">
        <w:t>postaw prawnych, na podstawie których będzie działać:</w:t>
      </w:r>
    </w:p>
    <w:p w14:paraId="507B163E" w14:textId="58F467B9" w:rsidR="007652A7" w:rsidRDefault="007652A7" w:rsidP="007652A7">
      <w:pPr>
        <w:pStyle w:val="LITlitera"/>
        <w:ind w:firstLine="7"/>
        <w:rPr>
          <w:rFonts w:eastAsia="Times New Roman"/>
          <w:szCs w:val="24"/>
        </w:rPr>
      </w:pPr>
      <w:r>
        <w:rPr>
          <w:rFonts w:eastAsia="Times New Roman"/>
        </w:rPr>
        <w:t>-</w:t>
      </w:r>
      <w:r>
        <w:rPr>
          <w:rFonts w:eastAsia="Times New Roman"/>
        </w:rPr>
        <w:tab/>
      </w:r>
      <w:r>
        <w:t>komisja dokonująca wyboru LSR (</w:t>
      </w:r>
      <w:r w:rsidRPr="00D41084">
        <w:t xml:space="preserve">art. </w:t>
      </w:r>
      <w:r w:rsidR="00BC551A">
        <w:t>4</w:t>
      </w:r>
      <w:r w:rsidRPr="00D41084">
        <w:t xml:space="preserve"> pkt 4</w:t>
      </w:r>
      <w:r>
        <w:t xml:space="preserve"> </w:t>
      </w:r>
      <w:r w:rsidRPr="00117FC4">
        <w:rPr>
          <w:rFonts w:ascii="Times New Roman" w:eastAsia="Times New Roman" w:hAnsi="Times New Roman"/>
          <w:szCs w:val="24"/>
        </w:rPr>
        <w:t>projektowanej ustawy</w:t>
      </w:r>
      <w:r>
        <w:rPr>
          <w:rFonts w:eastAsia="Times New Roman"/>
        </w:rPr>
        <w:t xml:space="preserve"> </w:t>
      </w:r>
      <w:r>
        <w:rPr>
          <w:rFonts w:eastAsia="Times New Roman"/>
          <w:szCs w:val="24"/>
        </w:rPr>
        <w:t>wprowadzający zmiany w</w:t>
      </w:r>
      <w:r w:rsidRPr="00117FC4">
        <w:rPr>
          <w:rFonts w:eastAsia="Times New Roman"/>
          <w:szCs w:val="24"/>
        </w:rPr>
        <w:t xml:space="preserve"> </w:t>
      </w:r>
      <w:r w:rsidRPr="00D41084">
        <w:rPr>
          <w:rFonts w:eastAsia="Times New Roman"/>
          <w:szCs w:val="24"/>
        </w:rPr>
        <w:t>art. 3</w:t>
      </w:r>
      <w:r>
        <w:rPr>
          <w:rFonts w:eastAsia="Times New Roman"/>
          <w:szCs w:val="24"/>
        </w:rPr>
        <w:t xml:space="preserve"> ustawy o RLKS), </w:t>
      </w:r>
    </w:p>
    <w:p w14:paraId="73FC45BD" w14:textId="333BFC8C" w:rsidR="00692639" w:rsidRDefault="007652A7" w:rsidP="00961451">
      <w:pPr>
        <w:pStyle w:val="LITlitera"/>
        <w:ind w:firstLine="7"/>
        <w:rPr>
          <w:rFonts w:eastAsia="Times New Roman"/>
          <w:szCs w:val="24"/>
        </w:rPr>
      </w:pPr>
      <w:r>
        <w:rPr>
          <w:rFonts w:eastAsia="Times New Roman"/>
          <w:szCs w:val="24"/>
        </w:rPr>
        <w:t>-</w:t>
      </w:r>
      <w:r>
        <w:rPr>
          <w:rFonts w:eastAsia="Times New Roman"/>
          <w:szCs w:val="24"/>
        </w:rPr>
        <w:tab/>
        <w:t>LGD (</w:t>
      </w:r>
      <w:r w:rsidRPr="00D41084">
        <w:t xml:space="preserve">art. </w:t>
      </w:r>
      <w:r w:rsidR="00BC551A">
        <w:t>4</w:t>
      </w:r>
      <w:r w:rsidRPr="00D41084">
        <w:t xml:space="preserve"> pkt 5</w:t>
      </w:r>
      <w:r>
        <w:t xml:space="preserve"> </w:t>
      </w:r>
      <w:r w:rsidRPr="00117FC4">
        <w:rPr>
          <w:rFonts w:ascii="Times New Roman" w:eastAsia="Times New Roman" w:hAnsi="Times New Roman"/>
          <w:szCs w:val="24"/>
        </w:rPr>
        <w:t>projektowanej ustawy</w:t>
      </w:r>
      <w:r>
        <w:rPr>
          <w:rFonts w:eastAsia="Times New Roman"/>
        </w:rPr>
        <w:t xml:space="preserve"> </w:t>
      </w:r>
      <w:r>
        <w:rPr>
          <w:rFonts w:eastAsia="Times New Roman"/>
          <w:szCs w:val="24"/>
        </w:rPr>
        <w:t>wprowadzający zmiany w</w:t>
      </w:r>
      <w:r w:rsidRPr="00117FC4">
        <w:rPr>
          <w:rFonts w:eastAsia="Times New Roman"/>
          <w:szCs w:val="24"/>
        </w:rPr>
        <w:t xml:space="preserve"> </w:t>
      </w:r>
      <w:r w:rsidRPr="00D41084">
        <w:rPr>
          <w:rFonts w:eastAsia="Times New Roman"/>
          <w:szCs w:val="24"/>
        </w:rPr>
        <w:t>art. 4</w:t>
      </w:r>
      <w:r>
        <w:rPr>
          <w:rFonts w:eastAsia="Times New Roman"/>
          <w:szCs w:val="24"/>
        </w:rPr>
        <w:t xml:space="preserve"> ustawy o RLKS</w:t>
      </w:r>
      <w:r w:rsidR="00692639">
        <w:rPr>
          <w:rFonts w:eastAsia="Times New Roman"/>
          <w:szCs w:val="24"/>
        </w:rPr>
        <w:t xml:space="preserve"> </w:t>
      </w:r>
      <w:r>
        <w:rPr>
          <w:rFonts w:eastAsia="Times New Roman"/>
          <w:szCs w:val="24"/>
        </w:rPr>
        <w:t>)</w:t>
      </w:r>
      <w:r w:rsidR="00692639">
        <w:rPr>
          <w:rFonts w:eastAsia="Times New Roman"/>
          <w:szCs w:val="24"/>
        </w:rPr>
        <w:t>,</w:t>
      </w:r>
    </w:p>
    <w:p w14:paraId="1D1133F9" w14:textId="1F54669F" w:rsidR="004644C1" w:rsidRPr="00E9463F" w:rsidRDefault="00692639" w:rsidP="00E9463F">
      <w:pPr>
        <w:pStyle w:val="LITlitera"/>
      </w:pPr>
      <w:r>
        <w:t xml:space="preserve">f) </w:t>
      </w:r>
      <w:r>
        <w:tab/>
      </w:r>
      <w:r w:rsidR="00576E72">
        <w:t>zmian</w:t>
      </w:r>
      <w:r w:rsidR="006C539A">
        <w:t>y</w:t>
      </w:r>
      <w:r w:rsidR="00576E72">
        <w:t xml:space="preserve"> nazwy </w:t>
      </w:r>
      <w:r>
        <w:t xml:space="preserve">Europejskiego Funduszu Społecznego </w:t>
      </w:r>
      <w:r w:rsidR="00576E72">
        <w:t xml:space="preserve">na Europejski Funduszu Społeczny </w:t>
      </w:r>
      <w:r>
        <w:t xml:space="preserve">Plus (art. 4 </w:t>
      </w:r>
      <w:r>
        <w:rPr>
          <w:rFonts w:eastAsia="Times New Roman"/>
        </w:rPr>
        <w:t xml:space="preserve">pkt 7 lit. a tiret drugie </w:t>
      </w:r>
      <w:r w:rsidRPr="00117FC4">
        <w:rPr>
          <w:rFonts w:ascii="Times New Roman" w:eastAsia="Times New Roman" w:hAnsi="Times New Roman"/>
          <w:szCs w:val="24"/>
        </w:rPr>
        <w:t>projektowanej ustawy</w:t>
      </w:r>
      <w:r>
        <w:rPr>
          <w:rFonts w:eastAsia="Times New Roman"/>
        </w:rPr>
        <w:t xml:space="preserve"> </w:t>
      </w:r>
      <w:r>
        <w:rPr>
          <w:rFonts w:eastAsia="Times New Roman"/>
          <w:szCs w:val="24"/>
        </w:rPr>
        <w:t xml:space="preserve">dodający wyraz „Plus” w </w:t>
      </w:r>
      <w:r w:rsidRPr="00961451">
        <w:rPr>
          <w:rFonts w:eastAsia="Times New Roman"/>
          <w:szCs w:val="24"/>
        </w:rPr>
        <w:t xml:space="preserve">art. 5 ust. 1 pkt 2 </w:t>
      </w:r>
      <w:r w:rsidR="00915114">
        <w:rPr>
          <w:rFonts w:eastAsia="Times New Roman"/>
          <w:szCs w:val="24"/>
        </w:rPr>
        <w:t xml:space="preserve">lit. b </w:t>
      </w:r>
      <w:r>
        <w:rPr>
          <w:rFonts w:eastAsia="Times New Roman"/>
          <w:szCs w:val="24"/>
        </w:rPr>
        <w:t>ustawy o RLKS)</w:t>
      </w:r>
      <w:r w:rsidR="004644C1" w:rsidRPr="00E9463F">
        <w:t>;</w:t>
      </w:r>
    </w:p>
    <w:p w14:paraId="38039D11" w14:textId="03F19A7D" w:rsidR="004644C1" w:rsidRPr="00117FC4" w:rsidRDefault="004644C1" w:rsidP="004644C1">
      <w:pPr>
        <w:widowControl/>
        <w:numPr>
          <w:ilvl w:val="0"/>
          <w:numId w:val="2"/>
        </w:numPr>
        <w:suppressAutoHyphens/>
        <w:autoSpaceDE/>
        <w:autoSpaceDN/>
        <w:adjustRightInd/>
        <w:ind w:left="425" w:hanging="425"/>
        <w:contextualSpacing/>
        <w:jc w:val="both"/>
      </w:pPr>
      <w:r w:rsidRPr="00117FC4">
        <w:t xml:space="preserve">umożliwienie wykorzystania środków komunikacji elektronicznej w pracach organu LGD jakim jest rada </w:t>
      </w:r>
      <w:r w:rsidRPr="00117FC4">
        <w:rPr>
          <w:rFonts w:eastAsia="Times New Roman"/>
        </w:rPr>
        <w:t xml:space="preserve">oraz </w:t>
      </w:r>
      <w:r w:rsidRPr="00117FC4">
        <w:rPr>
          <w:rFonts w:eastAsia="Times New Roman"/>
          <w:szCs w:val="24"/>
        </w:rPr>
        <w:t>komisji</w:t>
      </w:r>
      <w:r w:rsidRPr="00117FC4">
        <w:rPr>
          <w:rFonts w:eastAsia="Times New Roman"/>
        </w:rPr>
        <w:t xml:space="preserve"> </w:t>
      </w:r>
      <w:r w:rsidRPr="00117FC4">
        <w:rPr>
          <w:rFonts w:eastAsia="Times New Roman"/>
          <w:szCs w:val="24"/>
        </w:rPr>
        <w:t>dokonującej wyboru LSR, zwanej dalej „komisją”,</w:t>
      </w:r>
      <w:r w:rsidRPr="00117FC4">
        <w:rPr>
          <w:rFonts w:eastAsia="Times New Roman"/>
        </w:rPr>
        <w:t xml:space="preserve"> (art. </w:t>
      </w:r>
      <w:r w:rsidR="00BC551A">
        <w:rPr>
          <w:rFonts w:eastAsia="Times New Roman"/>
        </w:rPr>
        <w:t>4</w:t>
      </w:r>
      <w:r w:rsidR="00751BD6" w:rsidRPr="00117FC4">
        <w:rPr>
          <w:rFonts w:eastAsia="Times New Roman"/>
        </w:rPr>
        <w:t xml:space="preserve"> </w:t>
      </w:r>
      <w:r w:rsidRPr="00117FC4">
        <w:rPr>
          <w:rFonts w:eastAsia="Times New Roman"/>
        </w:rPr>
        <w:t>pkt</w:t>
      </w:r>
      <w:r w:rsidR="00961451">
        <w:rPr>
          <w:rFonts w:eastAsia="Times New Roman"/>
        </w:rPr>
        <w:t> </w:t>
      </w:r>
      <w:r w:rsidRPr="00117FC4">
        <w:rPr>
          <w:rFonts w:eastAsia="Times New Roman"/>
        </w:rPr>
        <w:t xml:space="preserve"> 6 </w:t>
      </w:r>
      <w:r w:rsidRPr="00117FC4">
        <w:rPr>
          <w:rFonts w:eastAsia="Times New Roman"/>
          <w:szCs w:val="24"/>
        </w:rPr>
        <w:t>projektowanej ustawy</w:t>
      </w:r>
      <w:r w:rsidRPr="00117FC4">
        <w:rPr>
          <w:rFonts w:eastAsia="Times New Roman"/>
        </w:rPr>
        <w:t>, którym dodaje się nowy art. 4a ustawy o RLKS)</w:t>
      </w:r>
      <w:r w:rsidRPr="00117FC4">
        <w:t>;</w:t>
      </w:r>
    </w:p>
    <w:p w14:paraId="7DAD6532" w14:textId="77777777" w:rsidR="004644C1" w:rsidRPr="00117FC4" w:rsidRDefault="004644C1" w:rsidP="004644C1">
      <w:pPr>
        <w:widowControl/>
        <w:numPr>
          <w:ilvl w:val="0"/>
          <w:numId w:val="2"/>
        </w:numPr>
        <w:suppressAutoHyphens/>
        <w:autoSpaceDE/>
        <w:autoSpaceDN/>
        <w:adjustRightInd/>
        <w:spacing w:before="120"/>
        <w:ind w:left="426" w:hanging="426"/>
        <w:contextualSpacing/>
        <w:jc w:val="both"/>
        <w:rPr>
          <w:rFonts w:eastAsia="Times New Roman"/>
          <w:szCs w:val="24"/>
        </w:rPr>
      </w:pPr>
      <w:r w:rsidRPr="00117FC4">
        <w:t>a</w:t>
      </w:r>
      <w:r w:rsidRPr="00117FC4">
        <w:rPr>
          <w:rFonts w:eastAsia="Times New Roman"/>
          <w:szCs w:val="24"/>
        </w:rPr>
        <w:t>ktualizację zasad formalnych i proceduralnych na bazie doświadczeń z lat 2014–2020 w</w:t>
      </w:r>
      <w:r w:rsidR="005F24F0">
        <w:rPr>
          <w:rFonts w:eastAsia="Times New Roman"/>
          <w:szCs w:val="24"/>
        </w:rPr>
        <w:t> </w:t>
      </w:r>
      <w:r w:rsidRPr="00117FC4">
        <w:rPr>
          <w:rFonts w:eastAsia="Times New Roman"/>
          <w:szCs w:val="24"/>
        </w:rPr>
        <w:t xml:space="preserve"> zakresie:</w:t>
      </w:r>
    </w:p>
    <w:p w14:paraId="00102F12" w14:textId="7A74B71D" w:rsidR="004644C1" w:rsidRPr="00117FC4" w:rsidRDefault="004644C1" w:rsidP="004644C1">
      <w:pPr>
        <w:widowControl/>
        <w:numPr>
          <w:ilvl w:val="0"/>
          <w:numId w:val="3"/>
        </w:numPr>
        <w:suppressAutoHyphens/>
        <w:autoSpaceDE/>
        <w:autoSpaceDN/>
        <w:adjustRightInd/>
        <w:spacing w:before="120"/>
        <w:ind w:left="851"/>
        <w:contextualSpacing/>
        <w:jc w:val="both"/>
        <w:rPr>
          <w:rFonts w:eastAsia="Times New Roman"/>
          <w:szCs w:val="24"/>
        </w:rPr>
      </w:pPr>
      <w:r w:rsidRPr="00117FC4">
        <w:rPr>
          <w:rFonts w:eastAsia="Times New Roman"/>
          <w:szCs w:val="24"/>
        </w:rPr>
        <w:t xml:space="preserve">wyboru LSR w tym warunków dostępu i kryteriów wyboru LSR (art. </w:t>
      </w:r>
      <w:r w:rsidR="00BC551A">
        <w:rPr>
          <w:rFonts w:eastAsia="Times New Roman"/>
          <w:szCs w:val="24"/>
        </w:rPr>
        <w:t>4</w:t>
      </w:r>
      <w:r w:rsidR="00751BD6" w:rsidRPr="00117FC4">
        <w:rPr>
          <w:rFonts w:eastAsia="Times New Roman"/>
          <w:szCs w:val="24"/>
        </w:rPr>
        <w:t xml:space="preserve"> </w:t>
      </w:r>
      <w:r w:rsidRPr="00117FC4">
        <w:rPr>
          <w:rFonts w:eastAsia="Times New Roman"/>
          <w:szCs w:val="24"/>
        </w:rPr>
        <w:t>pkt 7 projektowanej ustawy zmieniający art. 5 ust. 1</w:t>
      </w:r>
      <w:r w:rsidR="00C704D8">
        <w:rPr>
          <w:rFonts w:eastAsia="Times New Roman"/>
          <w:szCs w:val="24"/>
        </w:rPr>
        <w:t>,</w:t>
      </w:r>
      <w:r w:rsidRPr="00117FC4">
        <w:rPr>
          <w:rFonts w:eastAsia="Times New Roman"/>
          <w:szCs w:val="24"/>
        </w:rPr>
        <w:t xml:space="preserve"> 3</w:t>
      </w:r>
      <w:r w:rsidR="007652A7">
        <w:rPr>
          <w:rFonts w:eastAsia="Times New Roman"/>
          <w:szCs w:val="24"/>
        </w:rPr>
        <w:t xml:space="preserve"> i </w:t>
      </w:r>
      <w:r w:rsidRPr="00117FC4">
        <w:rPr>
          <w:rFonts w:eastAsia="Times New Roman"/>
          <w:szCs w:val="24"/>
        </w:rPr>
        <w:t xml:space="preserve">5 </w:t>
      </w:r>
      <w:r w:rsidR="007652A7" w:rsidRPr="00877394">
        <w:rPr>
          <w:rFonts w:eastAsia="Times New Roman"/>
          <w:szCs w:val="24"/>
        </w:rPr>
        <w:t xml:space="preserve">oraz dodający ust. </w:t>
      </w:r>
      <w:r w:rsidR="007652A7" w:rsidRPr="00D41084">
        <w:rPr>
          <w:rFonts w:eastAsia="Times New Roman"/>
          <w:szCs w:val="24"/>
        </w:rPr>
        <w:t>5</w:t>
      </w:r>
      <w:r w:rsidR="007652A7">
        <w:rPr>
          <w:rFonts w:eastAsia="Times New Roman"/>
          <w:szCs w:val="24"/>
        </w:rPr>
        <w:t xml:space="preserve"> </w:t>
      </w:r>
      <w:r w:rsidRPr="00117FC4">
        <w:rPr>
          <w:rFonts w:eastAsia="Times New Roman"/>
        </w:rPr>
        <w:t>ustawy o</w:t>
      </w:r>
      <w:r w:rsidR="007652A7">
        <w:rPr>
          <w:rFonts w:eastAsia="Times New Roman"/>
        </w:rPr>
        <w:t> </w:t>
      </w:r>
      <w:r w:rsidRPr="00117FC4">
        <w:rPr>
          <w:rFonts w:eastAsia="Times New Roman"/>
        </w:rPr>
        <w:t xml:space="preserve"> RLKS</w:t>
      </w:r>
      <w:r w:rsidRPr="00117FC4">
        <w:rPr>
          <w:rFonts w:eastAsia="Times New Roman"/>
          <w:szCs w:val="24"/>
        </w:rPr>
        <w:t xml:space="preserve">, oraz art. </w:t>
      </w:r>
      <w:r w:rsidR="00BC551A">
        <w:rPr>
          <w:rFonts w:eastAsia="Times New Roman"/>
          <w:szCs w:val="24"/>
        </w:rPr>
        <w:t>4</w:t>
      </w:r>
      <w:r w:rsidR="00751BD6" w:rsidRPr="00117FC4">
        <w:rPr>
          <w:rFonts w:eastAsia="Times New Roman"/>
          <w:szCs w:val="24"/>
        </w:rPr>
        <w:t xml:space="preserve"> </w:t>
      </w:r>
      <w:r w:rsidRPr="00117FC4">
        <w:rPr>
          <w:rFonts w:eastAsia="Times New Roman"/>
          <w:szCs w:val="24"/>
        </w:rPr>
        <w:t xml:space="preserve">pkt 15 projektowanej ustawy zmieniający art. 12 </w:t>
      </w:r>
      <w:r w:rsidRPr="00117FC4">
        <w:rPr>
          <w:rFonts w:eastAsia="Times New Roman"/>
        </w:rPr>
        <w:t>ustawy o RLKS</w:t>
      </w:r>
      <w:r w:rsidRPr="00117FC4">
        <w:rPr>
          <w:rFonts w:eastAsia="Times New Roman"/>
          <w:szCs w:val="24"/>
        </w:rPr>
        <w:t>), w szczególności w</w:t>
      </w:r>
      <w:r w:rsidR="005F24F0">
        <w:rPr>
          <w:rFonts w:eastAsia="Times New Roman"/>
          <w:szCs w:val="24"/>
        </w:rPr>
        <w:t> </w:t>
      </w:r>
      <w:r w:rsidRPr="00117FC4">
        <w:rPr>
          <w:rFonts w:eastAsia="Times New Roman"/>
          <w:szCs w:val="24"/>
        </w:rPr>
        <w:t xml:space="preserve"> odniesieniu do:</w:t>
      </w:r>
    </w:p>
    <w:p w14:paraId="07EA7B6B" w14:textId="59B5947A" w:rsidR="004644C1" w:rsidRPr="00117FC4" w:rsidRDefault="004644C1" w:rsidP="004644C1">
      <w:pPr>
        <w:widowControl/>
        <w:numPr>
          <w:ilvl w:val="0"/>
          <w:numId w:val="4"/>
        </w:numPr>
        <w:suppressAutoHyphens/>
        <w:autoSpaceDE/>
        <w:autoSpaceDN/>
        <w:adjustRightInd/>
        <w:spacing w:before="120"/>
        <w:ind w:left="1276"/>
        <w:contextualSpacing/>
        <w:jc w:val="both"/>
        <w:rPr>
          <w:rFonts w:eastAsia="Times New Roman"/>
          <w:szCs w:val="24"/>
        </w:rPr>
      </w:pPr>
      <w:r w:rsidRPr="00117FC4">
        <w:rPr>
          <w:rFonts w:eastAsia="Times New Roman"/>
          <w:szCs w:val="24"/>
        </w:rPr>
        <w:t xml:space="preserve">planu komunikacji z lokalną społecznością (art. </w:t>
      </w:r>
      <w:r w:rsidR="00BC551A">
        <w:rPr>
          <w:rFonts w:eastAsia="Times New Roman"/>
          <w:szCs w:val="24"/>
        </w:rPr>
        <w:t>4</w:t>
      </w:r>
      <w:r w:rsidR="00751BD6" w:rsidRPr="00117FC4">
        <w:rPr>
          <w:rFonts w:eastAsia="Times New Roman"/>
          <w:szCs w:val="24"/>
        </w:rPr>
        <w:t xml:space="preserve"> </w:t>
      </w:r>
      <w:r w:rsidRPr="00117FC4">
        <w:rPr>
          <w:rFonts w:eastAsia="Times New Roman"/>
          <w:szCs w:val="24"/>
        </w:rPr>
        <w:t xml:space="preserve">pkt 7 lit. a tiret drugie projektowanej ustawy zmieniający art. 5 ust. 1 pkt 3 lit. b </w:t>
      </w:r>
      <w:r w:rsidRPr="00117FC4">
        <w:rPr>
          <w:rFonts w:eastAsia="Times New Roman"/>
        </w:rPr>
        <w:t xml:space="preserve">ustawy o RLKS </w:t>
      </w:r>
      <w:r w:rsidRPr="00117FC4">
        <w:rPr>
          <w:rFonts w:eastAsia="Times New Roman"/>
          <w:szCs w:val="24"/>
        </w:rPr>
        <w:t xml:space="preserve">oraz art. </w:t>
      </w:r>
      <w:r w:rsidR="00BC551A">
        <w:rPr>
          <w:rFonts w:eastAsia="Times New Roman"/>
          <w:szCs w:val="24"/>
        </w:rPr>
        <w:t>4</w:t>
      </w:r>
      <w:r w:rsidR="00751BD6" w:rsidRPr="00117FC4">
        <w:rPr>
          <w:rFonts w:eastAsia="Times New Roman"/>
          <w:szCs w:val="24"/>
        </w:rPr>
        <w:t xml:space="preserve"> </w:t>
      </w:r>
      <w:r w:rsidRPr="00117FC4">
        <w:rPr>
          <w:rFonts w:eastAsia="Times New Roman"/>
          <w:szCs w:val="24"/>
        </w:rPr>
        <w:t xml:space="preserve">pkt 16 lit. f projektowanej ustawy zmieniający art. 14 ust. 6 </w:t>
      </w:r>
      <w:r w:rsidRPr="00117FC4">
        <w:rPr>
          <w:rFonts w:eastAsia="Times New Roman"/>
        </w:rPr>
        <w:t>ustawy o RLKS</w:t>
      </w:r>
      <w:r w:rsidRPr="00117FC4">
        <w:rPr>
          <w:rFonts w:eastAsia="Times New Roman"/>
          <w:szCs w:val="24"/>
        </w:rPr>
        <w:t>);</w:t>
      </w:r>
    </w:p>
    <w:p w14:paraId="498D5BFD" w14:textId="2A31276F" w:rsidR="004644C1" w:rsidRPr="00117FC4" w:rsidRDefault="004644C1" w:rsidP="004644C1">
      <w:pPr>
        <w:numPr>
          <w:ilvl w:val="0"/>
          <w:numId w:val="4"/>
        </w:numPr>
        <w:suppressAutoHyphens/>
        <w:spacing w:before="120"/>
        <w:contextualSpacing/>
        <w:jc w:val="both"/>
        <w:rPr>
          <w:rFonts w:eastAsia="Times New Roman"/>
          <w:szCs w:val="24"/>
        </w:rPr>
      </w:pPr>
      <w:r w:rsidRPr="00117FC4">
        <w:rPr>
          <w:rFonts w:eastAsia="Times New Roman"/>
          <w:szCs w:val="24"/>
        </w:rPr>
        <w:t xml:space="preserve">sposobu reprezentacji obszaru gminy na potrzeby przygotowania oraz wyboru LSR (art. </w:t>
      </w:r>
      <w:r w:rsidR="00BC551A">
        <w:rPr>
          <w:rFonts w:eastAsia="Times New Roman"/>
          <w:szCs w:val="24"/>
        </w:rPr>
        <w:t>4</w:t>
      </w:r>
      <w:r w:rsidR="00751BD6" w:rsidRPr="00117FC4">
        <w:rPr>
          <w:rFonts w:eastAsia="Times New Roman"/>
          <w:szCs w:val="24"/>
        </w:rPr>
        <w:t xml:space="preserve"> </w:t>
      </w:r>
      <w:r w:rsidRPr="00117FC4">
        <w:rPr>
          <w:rFonts w:eastAsia="Times New Roman"/>
          <w:szCs w:val="24"/>
        </w:rPr>
        <w:t xml:space="preserve">pkt 7 lit. a tiret </w:t>
      </w:r>
      <w:r w:rsidR="007652A7">
        <w:rPr>
          <w:rFonts w:eastAsia="Times New Roman"/>
          <w:szCs w:val="24"/>
        </w:rPr>
        <w:t>czwarte i lit. b</w:t>
      </w:r>
      <w:r w:rsidR="007652A7" w:rsidRPr="00117FC4">
        <w:rPr>
          <w:rFonts w:eastAsia="Times New Roman"/>
          <w:szCs w:val="24"/>
        </w:rPr>
        <w:t xml:space="preserve"> </w:t>
      </w:r>
      <w:r w:rsidRPr="00117FC4">
        <w:rPr>
          <w:rFonts w:eastAsia="Times New Roman"/>
          <w:szCs w:val="24"/>
        </w:rPr>
        <w:t>projektowanej ustawy</w:t>
      </w:r>
      <w:r w:rsidRPr="00117FC4" w:rsidDel="00AE06F6">
        <w:rPr>
          <w:rFonts w:eastAsia="Times New Roman"/>
          <w:szCs w:val="24"/>
        </w:rPr>
        <w:t xml:space="preserve"> </w:t>
      </w:r>
      <w:r w:rsidRPr="00117FC4">
        <w:rPr>
          <w:rFonts w:eastAsia="Times New Roman"/>
          <w:szCs w:val="24"/>
        </w:rPr>
        <w:t xml:space="preserve">dodający art. 5 ust. 1 pkt 4 w </w:t>
      </w:r>
      <w:r w:rsidRPr="00117FC4">
        <w:rPr>
          <w:rFonts w:eastAsia="Times New Roman"/>
        </w:rPr>
        <w:t>ustawie o RLKS</w:t>
      </w:r>
      <w:r w:rsidRPr="00117FC4">
        <w:rPr>
          <w:rFonts w:eastAsia="Times New Roman"/>
          <w:szCs w:val="24"/>
        </w:rPr>
        <w:t xml:space="preserve"> </w:t>
      </w:r>
      <w:r w:rsidR="007652A7" w:rsidRPr="00D41084">
        <w:rPr>
          <w:rFonts w:eastAsia="Times New Roman"/>
          <w:szCs w:val="24"/>
        </w:rPr>
        <w:t>i u</w:t>
      </w:r>
      <w:r w:rsidR="007652A7" w:rsidRPr="00D41084">
        <w:rPr>
          <w:rFonts w:eastAsia="Times New Roman"/>
        </w:rPr>
        <w:t xml:space="preserve">chylający art. 5 ust. 2 ustawy o RLKS </w:t>
      </w:r>
      <w:r w:rsidRPr="00117FC4">
        <w:rPr>
          <w:rFonts w:eastAsia="Times New Roman"/>
          <w:szCs w:val="24"/>
        </w:rPr>
        <w:t>oraz</w:t>
      </w:r>
      <w:r w:rsidRPr="00117FC4">
        <w:t xml:space="preserve"> </w:t>
      </w:r>
      <w:r w:rsidRPr="00117FC4">
        <w:rPr>
          <w:rFonts w:eastAsia="Times New Roman"/>
          <w:szCs w:val="24"/>
        </w:rPr>
        <w:t>art.</w:t>
      </w:r>
      <w:r w:rsidR="00BC551A">
        <w:rPr>
          <w:rFonts w:eastAsia="Times New Roman"/>
          <w:szCs w:val="24"/>
        </w:rPr>
        <w:t> </w:t>
      </w:r>
      <w:r w:rsidRPr="00117FC4">
        <w:rPr>
          <w:rFonts w:eastAsia="Times New Roman"/>
          <w:szCs w:val="24"/>
        </w:rPr>
        <w:t xml:space="preserve"> </w:t>
      </w:r>
      <w:r w:rsidR="00BC551A">
        <w:rPr>
          <w:rFonts w:eastAsia="Times New Roman"/>
          <w:szCs w:val="24"/>
        </w:rPr>
        <w:t>4</w:t>
      </w:r>
      <w:r w:rsidR="00BC551A" w:rsidRPr="00117FC4">
        <w:rPr>
          <w:rFonts w:eastAsia="Times New Roman"/>
          <w:szCs w:val="24"/>
        </w:rPr>
        <w:t xml:space="preserve"> </w:t>
      </w:r>
      <w:r w:rsidRPr="00117FC4">
        <w:rPr>
          <w:rFonts w:eastAsia="Times New Roman"/>
          <w:szCs w:val="24"/>
        </w:rPr>
        <w:t xml:space="preserve">pkt 18 lit. b tiret drugie projektowanej ustawy uchylający art. 16 ust. 2 pkt 2 </w:t>
      </w:r>
      <w:r w:rsidRPr="00117FC4">
        <w:rPr>
          <w:rFonts w:eastAsia="Times New Roman"/>
        </w:rPr>
        <w:t>ustawy o RLKS</w:t>
      </w:r>
      <w:r w:rsidRPr="00117FC4">
        <w:rPr>
          <w:rFonts w:eastAsia="Times New Roman"/>
          <w:szCs w:val="24"/>
        </w:rPr>
        <w:t>),</w:t>
      </w:r>
    </w:p>
    <w:p w14:paraId="4F0ECF2C" w14:textId="3AC29C60" w:rsidR="004644C1" w:rsidRPr="00117FC4" w:rsidRDefault="004644C1" w:rsidP="004644C1">
      <w:pPr>
        <w:widowControl/>
        <w:numPr>
          <w:ilvl w:val="0"/>
          <w:numId w:val="4"/>
        </w:numPr>
        <w:suppressAutoHyphens/>
        <w:autoSpaceDE/>
        <w:autoSpaceDN/>
        <w:adjustRightInd/>
        <w:spacing w:before="120"/>
        <w:ind w:left="1276"/>
        <w:contextualSpacing/>
        <w:jc w:val="both"/>
        <w:rPr>
          <w:rFonts w:eastAsia="Times New Roman"/>
          <w:szCs w:val="24"/>
        </w:rPr>
      </w:pPr>
      <w:r w:rsidRPr="00117FC4">
        <w:rPr>
          <w:rFonts w:eastAsia="Times New Roman"/>
          <w:szCs w:val="24"/>
        </w:rPr>
        <w:lastRenderedPageBreak/>
        <w:t xml:space="preserve">terminu publikacji danych statystycznych na podstawie, których określa się minimum liczby mieszkańców (art. </w:t>
      </w:r>
      <w:r w:rsidR="00BC551A">
        <w:rPr>
          <w:rFonts w:eastAsia="Times New Roman"/>
          <w:szCs w:val="24"/>
        </w:rPr>
        <w:t>4</w:t>
      </w:r>
      <w:r w:rsidR="00751BD6" w:rsidRPr="00117FC4">
        <w:rPr>
          <w:rFonts w:eastAsia="Times New Roman"/>
          <w:szCs w:val="24"/>
        </w:rPr>
        <w:t xml:space="preserve"> </w:t>
      </w:r>
      <w:r w:rsidRPr="00117FC4">
        <w:rPr>
          <w:rFonts w:eastAsia="Times New Roman"/>
          <w:szCs w:val="24"/>
        </w:rPr>
        <w:t>pkt. 7 lit</w:t>
      </w:r>
      <w:r w:rsidR="00567D41">
        <w:rPr>
          <w:rFonts w:eastAsia="Times New Roman"/>
          <w:szCs w:val="24"/>
        </w:rPr>
        <w:t>.</w:t>
      </w:r>
      <w:r w:rsidRPr="00117FC4">
        <w:rPr>
          <w:rFonts w:eastAsia="Times New Roman"/>
          <w:szCs w:val="24"/>
        </w:rPr>
        <w:t xml:space="preserve"> d i e projektowanej ustawy</w:t>
      </w:r>
      <w:r w:rsidRPr="00117FC4" w:rsidDel="00AE06F6">
        <w:rPr>
          <w:rFonts w:eastAsia="Times New Roman"/>
          <w:szCs w:val="24"/>
        </w:rPr>
        <w:t xml:space="preserve"> </w:t>
      </w:r>
      <w:r w:rsidRPr="00117FC4">
        <w:rPr>
          <w:rFonts w:eastAsia="Times New Roman"/>
          <w:szCs w:val="24"/>
        </w:rPr>
        <w:t xml:space="preserve">zmieniający art. 5 ust. 4 i 5 </w:t>
      </w:r>
      <w:r w:rsidRPr="00117FC4">
        <w:rPr>
          <w:rFonts w:eastAsia="Times New Roman"/>
        </w:rPr>
        <w:t>ustawy o RLKS</w:t>
      </w:r>
      <w:r w:rsidRPr="00117FC4">
        <w:rPr>
          <w:rFonts w:eastAsia="Times New Roman"/>
          <w:szCs w:val="24"/>
        </w:rPr>
        <w:t>),</w:t>
      </w:r>
    </w:p>
    <w:p w14:paraId="062E9F95" w14:textId="7D24E765" w:rsidR="007652A7" w:rsidRPr="00D41084" w:rsidRDefault="007652A7" w:rsidP="007652A7">
      <w:pPr>
        <w:widowControl/>
        <w:numPr>
          <w:ilvl w:val="0"/>
          <w:numId w:val="4"/>
        </w:numPr>
        <w:suppressAutoHyphens/>
        <w:autoSpaceDE/>
        <w:autoSpaceDN/>
        <w:adjustRightInd/>
        <w:spacing w:before="120"/>
        <w:ind w:left="1276"/>
        <w:contextualSpacing/>
        <w:jc w:val="both"/>
        <w:rPr>
          <w:rFonts w:eastAsia="Times New Roman"/>
          <w:szCs w:val="24"/>
        </w:rPr>
      </w:pPr>
      <w:r w:rsidRPr="00D41084">
        <w:rPr>
          <w:rFonts w:eastAsia="Times New Roman"/>
          <w:szCs w:val="24"/>
        </w:rPr>
        <w:t xml:space="preserve">regulaminu konkursu, w tym jego zawartości (art. </w:t>
      </w:r>
      <w:r w:rsidR="00BC551A">
        <w:rPr>
          <w:rFonts w:eastAsia="Times New Roman"/>
          <w:szCs w:val="24"/>
        </w:rPr>
        <w:t>4</w:t>
      </w:r>
      <w:r w:rsidRPr="00D41084">
        <w:rPr>
          <w:rFonts w:eastAsia="Times New Roman"/>
          <w:szCs w:val="24"/>
        </w:rPr>
        <w:t xml:space="preserve"> pkt 9 lit. a projektowanej ustawy zmieniający art. 8 ust. 1 pkt 1 lit</w:t>
      </w:r>
      <w:r w:rsidR="00567D41">
        <w:rPr>
          <w:rFonts w:eastAsia="Times New Roman"/>
          <w:szCs w:val="24"/>
        </w:rPr>
        <w:t>.</w:t>
      </w:r>
      <w:r w:rsidRPr="00D41084">
        <w:rPr>
          <w:rFonts w:eastAsia="Times New Roman"/>
          <w:szCs w:val="24"/>
        </w:rPr>
        <w:t xml:space="preserve"> d ustawy o RLKS oraz </w:t>
      </w:r>
      <w:r w:rsidR="00DF2A76">
        <w:rPr>
          <w:rFonts w:eastAsia="Times New Roman"/>
          <w:szCs w:val="24"/>
        </w:rPr>
        <w:t>a</w:t>
      </w:r>
      <w:r w:rsidRPr="00D41084">
        <w:rPr>
          <w:rFonts w:eastAsia="Times New Roman"/>
          <w:szCs w:val="24"/>
        </w:rPr>
        <w:t xml:space="preserve">rt. </w:t>
      </w:r>
      <w:r w:rsidR="00BC551A">
        <w:rPr>
          <w:rFonts w:eastAsia="Times New Roman"/>
          <w:szCs w:val="24"/>
        </w:rPr>
        <w:t>4</w:t>
      </w:r>
      <w:r w:rsidRPr="00D41084">
        <w:rPr>
          <w:rFonts w:eastAsia="Times New Roman"/>
          <w:szCs w:val="24"/>
        </w:rPr>
        <w:t xml:space="preserve"> pkt 10 lit</w:t>
      </w:r>
      <w:r w:rsidR="00567D41">
        <w:rPr>
          <w:rFonts w:eastAsia="Times New Roman"/>
          <w:szCs w:val="24"/>
        </w:rPr>
        <w:t>.</w:t>
      </w:r>
      <w:r w:rsidRPr="00D41084">
        <w:rPr>
          <w:rFonts w:eastAsia="Times New Roman"/>
          <w:szCs w:val="24"/>
        </w:rPr>
        <w:t xml:space="preserve"> a tiret pierwsze i drugie projektowanej ustawy zmieniającej art. 9 ust. 2 pkt 1 i 2 ustawy o RLKS) oraz minimalnej liczby punktów (art. </w:t>
      </w:r>
      <w:r w:rsidR="00BC551A">
        <w:rPr>
          <w:rFonts w:eastAsia="Times New Roman"/>
          <w:szCs w:val="24"/>
        </w:rPr>
        <w:t>4</w:t>
      </w:r>
      <w:r w:rsidRPr="00D41084">
        <w:rPr>
          <w:rFonts w:eastAsia="Times New Roman"/>
          <w:szCs w:val="24"/>
        </w:rPr>
        <w:t xml:space="preserve"> pkt 10 lit. a tiret trzecie i lit. b projektowanej ustawy</w:t>
      </w:r>
      <w:r w:rsidRPr="00D41084" w:rsidDel="00AE06F6">
        <w:rPr>
          <w:rFonts w:eastAsia="Times New Roman"/>
          <w:szCs w:val="24"/>
        </w:rPr>
        <w:t xml:space="preserve"> </w:t>
      </w:r>
      <w:r w:rsidRPr="00D41084">
        <w:rPr>
          <w:rFonts w:eastAsia="Times New Roman"/>
          <w:szCs w:val="24"/>
        </w:rPr>
        <w:t>uchylający art. 9 ust. 2 pkt 3 oraz ust. 3</w:t>
      </w:r>
      <w:r w:rsidRPr="00D41084">
        <w:rPr>
          <w:rFonts w:eastAsia="Times New Roman"/>
        </w:rPr>
        <w:t xml:space="preserve"> ustawy o RLKS</w:t>
      </w:r>
      <w:r w:rsidRPr="00D41084">
        <w:rPr>
          <w:rFonts w:eastAsia="Times New Roman"/>
          <w:szCs w:val="24"/>
        </w:rPr>
        <w:t xml:space="preserve">, a także art. </w:t>
      </w:r>
      <w:r w:rsidR="00BC551A">
        <w:rPr>
          <w:rFonts w:eastAsia="Times New Roman"/>
          <w:szCs w:val="24"/>
        </w:rPr>
        <w:t>4</w:t>
      </w:r>
      <w:r w:rsidRPr="00D41084">
        <w:rPr>
          <w:rFonts w:eastAsia="Times New Roman"/>
          <w:szCs w:val="24"/>
        </w:rPr>
        <w:t xml:space="preserve"> pkt 13 lit. c projektowanej ustawy uchylający art. 11 ust. 4 ustawy o RLKS oraz art. </w:t>
      </w:r>
      <w:r w:rsidR="00BC551A">
        <w:rPr>
          <w:rFonts w:eastAsia="Times New Roman"/>
          <w:szCs w:val="24"/>
        </w:rPr>
        <w:t>4</w:t>
      </w:r>
      <w:r w:rsidRPr="00D41084">
        <w:rPr>
          <w:rFonts w:eastAsia="Times New Roman"/>
          <w:szCs w:val="24"/>
        </w:rPr>
        <w:t xml:space="preserve"> pkt 16 lit. d projektowanej ustawy uchylający art. 14 ust. 3 ustawy o RLKS),</w:t>
      </w:r>
    </w:p>
    <w:p w14:paraId="45ACCD61" w14:textId="0BCE1790" w:rsidR="004644C1" w:rsidRPr="00117FC4" w:rsidRDefault="004644C1" w:rsidP="004644C1">
      <w:pPr>
        <w:widowControl/>
        <w:numPr>
          <w:ilvl w:val="0"/>
          <w:numId w:val="4"/>
        </w:numPr>
        <w:suppressAutoHyphens/>
        <w:autoSpaceDE/>
        <w:autoSpaceDN/>
        <w:adjustRightInd/>
        <w:spacing w:before="120"/>
        <w:ind w:left="1276"/>
        <w:contextualSpacing/>
        <w:jc w:val="both"/>
        <w:rPr>
          <w:rFonts w:eastAsia="Times New Roman"/>
          <w:szCs w:val="24"/>
        </w:rPr>
      </w:pPr>
      <w:r w:rsidRPr="00117FC4">
        <w:rPr>
          <w:rFonts w:eastAsia="Times New Roman"/>
          <w:szCs w:val="24"/>
        </w:rPr>
        <w:t xml:space="preserve">wniosku o wybór LSR (art. </w:t>
      </w:r>
      <w:r w:rsidR="00BC551A">
        <w:rPr>
          <w:rFonts w:eastAsia="Times New Roman"/>
          <w:szCs w:val="24"/>
        </w:rPr>
        <w:t>4</w:t>
      </w:r>
      <w:r w:rsidR="00751BD6" w:rsidRPr="00117FC4">
        <w:rPr>
          <w:rFonts w:eastAsia="Times New Roman"/>
          <w:szCs w:val="24"/>
        </w:rPr>
        <w:t xml:space="preserve"> </w:t>
      </w:r>
      <w:r w:rsidRPr="00117FC4">
        <w:rPr>
          <w:rFonts w:eastAsia="Times New Roman"/>
          <w:szCs w:val="24"/>
        </w:rPr>
        <w:t xml:space="preserve">pkt 11 </w:t>
      </w:r>
      <w:r w:rsidR="007652A7" w:rsidRPr="00D41084">
        <w:rPr>
          <w:rFonts w:eastAsia="Times New Roman"/>
          <w:szCs w:val="24"/>
        </w:rPr>
        <w:t xml:space="preserve">lit. a i c </w:t>
      </w:r>
      <w:r w:rsidRPr="00117FC4">
        <w:rPr>
          <w:rFonts w:eastAsia="Times New Roman"/>
          <w:szCs w:val="24"/>
        </w:rPr>
        <w:t xml:space="preserve">projektowanej ustawy zmieniający art. 10 </w:t>
      </w:r>
      <w:r w:rsidR="007652A7">
        <w:rPr>
          <w:rFonts w:eastAsia="Times New Roman"/>
          <w:szCs w:val="24"/>
        </w:rPr>
        <w:t xml:space="preserve">ust. 2–4 i 6 </w:t>
      </w:r>
      <w:r w:rsidRPr="00117FC4">
        <w:rPr>
          <w:rFonts w:eastAsia="Times New Roman"/>
          <w:szCs w:val="24"/>
        </w:rPr>
        <w:t>ustawy o RLKS ust. 2, 4 i 6),</w:t>
      </w:r>
    </w:p>
    <w:p w14:paraId="114FC933" w14:textId="2335E292" w:rsidR="007652A7" w:rsidRPr="00D41084" w:rsidRDefault="007652A7" w:rsidP="007652A7">
      <w:pPr>
        <w:numPr>
          <w:ilvl w:val="0"/>
          <w:numId w:val="4"/>
        </w:numPr>
        <w:suppressAutoHyphens/>
        <w:spacing w:before="120"/>
        <w:ind w:left="1276"/>
        <w:contextualSpacing/>
        <w:jc w:val="both"/>
        <w:rPr>
          <w:rFonts w:eastAsia="Times New Roman"/>
          <w:szCs w:val="24"/>
        </w:rPr>
      </w:pPr>
      <w:r w:rsidRPr="00D41084">
        <w:rPr>
          <w:rFonts w:eastAsia="Times New Roman"/>
          <w:szCs w:val="24"/>
        </w:rPr>
        <w:t xml:space="preserve">nowej procedury odwoławczej od oceny LSR do organu innego niż sąd administracyjny na poszczególnych etapach wyboru LSR (art. </w:t>
      </w:r>
      <w:r w:rsidR="00BC551A">
        <w:rPr>
          <w:rFonts w:eastAsia="Times New Roman"/>
          <w:szCs w:val="24"/>
        </w:rPr>
        <w:t>4</w:t>
      </w:r>
      <w:r w:rsidRPr="00D41084">
        <w:rPr>
          <w:rFonts w:eastAsia="Times New Roman"/>
          <w:szCs w:val="24"/>
        </w:rPr>
        <w:t xml:space="preserve"> pkt 11 lit. a, b i d projektowanej ustawy w zakresie zmiany art. 10 ust. 5–</w:t>
      </w:r>
      <w:r>
        <w:rPr>
          <w:rFonts w:eastAsia="Times New Roman"/>
          <w:szCs w:val="24"/>
        </w:rPr>
        <w:t xml:space="preserve">2 </w:t>
      </w:r>
      <w:r w:rsidRPr="00D41084">
        <w:rPr>
          <w:rFonts w:eastAsia="Times New Roman"/>
          <w:szCs w:val="24"/>
        </w:rPr>
        <w:t xml:space="preserve">ustawy o RLKS oraz  wprowadzający art. 10 ust. 5a–5e </w:t>
      </w:r>
      <w:r>
        <w:rPr>
          <w:rFonts w:eastAsia="Times New Roman"/>
          <w:szCs w:val="24"/>
        </w:rPr>
        <w:t>i</w:t>
      </w:r>
      <w:r w:rsidRPr="00D41084">
        <w:rPr>
          <w:rFonts w:eastAsia="Times New Roman"/>
          <w:szCs w:val="24"/>
        </w:rPr>
        <w:t xml:space="preserve"> 7 w ustawie o RLKS oraz art. </w:t>
      </w:r>
      <w:r w:rsidR="00BC551A">
        <w:rPr>
          <w:rFonts w:eastAsia="Times New Roman"/>
          <w:szCs w:val="24"/>
        </w:rPr>
        <w:t>4</w:t>
      </w:r>
      <w:r w:rsidRPr="00D41084">
        <w:rPr>
          <w:rFonts w:eastAsia="Times New Roman"/>
          <w:szCs w:val="24"/>
        </w:rPr>
        <w:t xml:space="preserve"> pkt 13 lit. b, e i f projektowanej ustawy zmieniający art. 11 ust. 3 i 6 oraz wprowadzający ust. 6a–6f w ustawie o RLKS,</w:t>
      </w:r>
    </w:p>
    <w:p w14:paraId="3CE65D87" w14:textId="6541D361" w:rsidR="004644C1" w:rsidRPr="00117FC4" w:rsidRDefault="004644C1" w:rsidP="004644C1">
      <w:pPr>
        <w:numPr>
          <w:ilvl w:val="0"/>
          <w:numId w:val="4"/>
        </w:numPr>
        <w:suppressAutoHyphens/>
        <w:spacing w:before="120"/>
        <w:contextualSpacing/>
        <w:jc w:val="both"/>
        <w:rPr>
          <w:rFonts w:eastAsia="Times New Roman"/>
          <w:szCs w:val="24"/>
        </w:rPr>
      </w:pPr>
      <w:r w:rsidRPr="00117FC4">
        <w:rPr>
          <w:rFonts w:eastAsia="Times New Roman"/>
          <w:szCs w:val="24"/>
        </w:rPr>
        <w:t xml:space="preserve">rozstrzygnięcia w zakresie LSR tożsamych obszarowo lub które uzyskały taką samą liczbę punktów w ramach oceny pod względem spełnienia kryteriów wyboru LSR (art. </w:t>
      </w:r>
      <w:r w:rsidR="00BC551A">
        <w:rPr>
          <w:rFonts w:eastAsia="Times New Roman"/>
          <w:szCs w:val="24"/>
        </w:rPr>
        <w:t>4</w:t>
      </w:r>
      <w:r w:rsidR="00751BD6" w:rsidRPr="00117FC4">
        <w:rPr>
          <w:rFonts w:eastAsia="Times New Roman"/>
          <w:szCs w:val="24"/>
        </w:rPr>
        <w:t xml:space="preserve"> </w:t>
      </w:r>
      <w:r w:rsidRPr="00117FC4">
        <w:rPr>
          <w:rFonts w:eastAsia="Times New Roman"/>
          <w:szCs w:val="24"/>
        </w:rPr>
        <w:t>pkt 12 projektowanej ustawy wprowadzający nowy art. 10a w ustawie o RLKS),</w:t>
      </w:r>
    </w:p>
    <w:p w14:paraId="6C9EE021" w14:textId="0C0D88B9" w:rsidR="004644C1" w:rsidRDefault="004644C1" w:rsidP="004644C1">
      <w:pPr>
        <w:numPr>
          <w:ilvl w:val="0"/>
          <w:numId w:val="4"/>
        </w:numPr>
        <w:suppressAutoHyphens/>
        <w:spacing w:before="120"/>
        <w:ind w:left="1276"/>
        <w:contextualSpacing/>
        <w:jc w:val="both"/>
        <w:rPr>
          <w:rFonts w:eastAsia="Times New Roman"/>
          <w:szCs w:val="24"/>
        </w:rPr>
      </w:pPr>
      <w:r w:rsidRPr="00117FC4">
        <w:rPr>
          <w:rFonts w:eastAsia="Times New Roman"/>
          <w:szCs w:val="24"/>
        </w:rPr>
        <w:t xml:space="preserve">prawa wniesienia skargi do sądu administracyjnego (art. </w:t>
      </w:r>
      <w:r w:rsidR="00BC551A">
        <w:rPr>
          <w:rFonts w:eastAsia="Times New Roman"/>
          <w:szCs w:val="24"/>
        </w:rPr>
        <w:t>4</w:t>
      </w:r>
      <w:r w:rsidR="00BC551A" w:rsidRPr="00117FC4">
        <w:rPr>
          <w:rFonts w:eastAsia="Times New Roman"/>
          <w:szCs w:val="24"/>
        </w:rPr>
        <w:t xml:space="preserve"> </w:t>
      </w:r>
      <w:r w:rsidRPr="00117FC4">
        <w:rPr>
          <w:rFonts w:eastAsia="Times New Roman"/>
          <w:szCs w:val="24"/>
        </w:rPr>
        <w:t>pkt 14 projektowanej ustawy</w:t>
      </w:r>
      <w:r w:rsidRPr="00117FC4" w:rsidDel="008F6B15">
        <w:rPr>
          <w:rFonts w:eastAsia="Times New Roman"/>
          <w:szCs w:val="24"/>
        </w:rPr>
        <w:t xml:space="preserve"> </w:t>
      </w:r>
      <w:r w:rsidRPr="00117FC4">
        <w:rPr>
          <w:rFonts w:eastAsia="Times New Roman"/>
          <w:szCs w:val="24"/>
        </w:rPr>
        <w:t>wprowadzający art.11a ustawy o RLKS),</w:t>
      </w:r>
    </w:p>
    <w:p w14:paraId="260934E5" w14:textId="7E42E7F0" w:rsidR="007652A7" w:rsidRPr="007652A7" w:rsidRDefault="007652A7" w:rsidP="007652A7">
      <w:pPr>
        <w:numPr>
          <w:ilvl w:val="0"/>
          <w:numId w:val="4"/>
        </w:numPr>
        <w:suppressAutoHyphens/>
        <w:spacing w:before="120"/>
        <w:ind w:left="1276"/>
        <w:contextualSpacing/>
        <w:jc w:val="both"/>
        <w:rPr>
          <w:rFonts w:eastAsia="Times New Roman"/>
          <w:szCs w:val="24"/>
        </w:rPr>
      </w:pPr>
      <w:r w:rsidRPr="00D41084">
        <w:rPr>
          <w:rFonts w:eastAsia="Times New Roman"/>
          <w:szCs w:val="24"/>
        </w:rPr>
        <w:t xml:space="preserve">stosowania przepisów Kodeksu postępowania administracyjnego w kontekście nowej procedury odwoławczej (art. </w:t>
      </w:r>
      <w:r w:rsidR="00BC551A">
        <w:rPr>
          <w:rFonts w:eastAsia="Times New Roman"/>
          <w:szCs w:val="24"/>
        </w:rPr>
        <w:t>4</w:t>
      </w:r>
      <w:r w:rsidRPr="00D41084">
        <w:rPr>
          <w:rFonts w:eastAsia="Times New Roman"/>
          <w:szCs w:val="24"/>
        </w:rPr>
        <w:t xml:space="preserve"> pkt 15 projektowanej ustawy zmieniający art. 12 ustawy o RLKS), </w:t>
      </w:r>
    </w:p>
    <w:p w14:paraId="4A3F060A" w14:textId="67C8CE02" w:rsidR="004644C1" w:rsidRPr="00117FC4" w:rsidRDefault="004644C1" w:rsidP="001D6CDC">
      <w:pPr>
        <w:widowControl/>
        <w:numPr>
          <w:ilvl w:val="0"/>
          <w:numId w:val="3"/>
        </w:numPr>
        <w:suppressAutoHyphens/>
        <w:autoSpaceDE/>
        <w:autoSpaceDN/>
        <w:adjustRightInd/>
        <w:spacing w:before="120"/>
        <w:ind w:left="851"/>
        <w:contextualSpacing/>
        <w:jc w:val="both"/>
        <w:rPr>
          <w:rFonts w:eastAsia="Times New Roman"/>
          <w:szCs w:val="24"/>
        </w:rPr>
      </w:pPr>
      <w:r w:rsidRPr="00117FC4">
        <w:rPr>
          <w:rFonts w:eastAsia="Times New Roman"/>
          <w:szCs w:val="24"/>
        </w:rPr>
        <w:t xml:space="preserve">umowy ramowej (art. </w:t>
      </w:r>
      <w:r w:rsidR="00BC551A">
        <w:rPr>
          <w:rFonts w:eastAsia="Times New Roman"/>
          <w:szCs w:val="24"/>
        </w:rPr>
        <w:t>4</w:t>
      </w:r>
      <w:r w:rsidR="00751BD6" w:rsidRPr="00117FC4">
        <w:rPr>
          <w:rFonts w:eastAsia="Times New Roman"/>
          <w:szCs w:val="24"/>
        </w:rPr>
        <w:t xml:space="preserve"> </w:t>
      </w:r>
      <w:r w:rsidRPr="00117FC4">
        <w:rPr>
          <w:rFonts w:eastAsia="Times New Roman"/>
          <w:szCs w:val="24"/>
        </w:rPr>
        <w:t>pkt. 16 projektowanej ustawy zmieniający art. 14 ustawy o</w:t>
      </w:r>
      <w:r w:rsidR="00516B2D">
        <w:rPr>
          <w:rFonts w:eastAsia="Times New Roman"/>
          <w:szCs w:val="24"/>
        </w:rPr>
        <w:t> </w:t>
      </w:r>
      <w:r w:rsidRPr="00117FC4">
        <w:rPr>
          <w:rFonts w:eastAsia="Times New Roman"/>
          <w:szCs w:val="24"/>
        </w:rPr>
        <w:t xml:space="preserve"> RLKS);</w:t>
      </w:r>
    </w:p>
    <w:p w14:paraId="6ED78718" w14:textId="1D940B41" w:rsidR="004644C1" w:rsidRPr="00117FC4" w:rsidRDefault="004644C1" w:rsidP="004644C1">
      <w:pPr>
        <w:widowControl/>
        <w:numPr>
          <w:ilvl w:val="0"/>
          <w:numId w:val="2"/>
        </w:numPr>
        <w:suppressAutoHyphens/>
        <w:autoSpaceDE/>
        <w:autoSpaceDN/>
        <w:adjustRightInd/>
        <w:ind w:left="425" w:hanging="425"/>
        <w:contextualSpacing/>
        <w:jc w:val="both"/>
        <w:rPr>
          <w:rFonts w:eastAsia="Times New Roman"/>
          <w:szCs w:val="24"/>
        </w:rPr>
      </w:pPr>
      <w:r w:rsidRPr="00117FC4">
        <w:rPr>
          <w:rFonts w:eastAsia="Times New Roman"/>
          <w:szCs w:val="24"/>
        </w:rPr>
        <w:t xml:space="preserve">umożliwienie uruchomienia wsparcia przygotowawczego (art. </w:t>
      </w:r>
      <w:r w:rsidR="00BC551A">
        <w:rPr>
          <w:rFonts w:eastAsia="Times New Roman"/>
          <w:szCs w:val="24"/>
        </w:rPr>
        <w:t>4</w:t>
      </w:r>
      <w:r w:rsidR="00751BD6" w:rsidRPr="00117FC4">
        <w:rPr>
          <w:rFonts w:eastAsia="Times New Roman"/>
          <w:szCs w:val="24"/>
        </w:rPr>
        <w:t xml:space="preserve"> </w:t>
      </w:r>
      <w:r w:rsidRPr="00117FC4">
        <w:rPr>
          <w:rFonts w:eastAsia="Times New Roman"/>
          <w:szCs w:val="24"/>
        </w:rPr>
        <w:t>pkt 18 projektowanej ustawy zmieniający art. 16 ust. 1 i 2 ustawy o RLKS) wraz z aktualizacją wymogów dotyczących tego wsparcia.</w:t>
      </w:r>
    </w:p>
    <w:p w14:paraId="5D669F46" w14:textId="77777777" w:rsidR="004644C1" w:rsidRPr="00117FC4" w:rsidRDefault="004644C1" w:rsidP="00751BD6">
      <w:pPr>
        <w:widowControl/>
        <w:suppressAutoHyphens/>
        <w:autoSpaceDE/>
        <w:autoSpaceDN/>
        <w:adjustRightInd/>
        <w:spacing w:before="120"/>
        <w:jc w:val="both"/>
        <w:rPr>
          <w:rFonts w:eastAsia="Times New Roman"/>
          <w:szCs w:val="24"/>
        </w:rPr>
      </w:pPr>
      <w:r w:rsidRPr="00117FC4">
        <w:rPr>
          <w:rFonts w:eastAsia="Times New Roman"/>
          <w:szCs w:val="24"/>
        </w:rPr>
        <w:lastRenderedPageBreak/>
        <w:t xml:space="preserve">Rozporządzenie </w:t>
      </w:r>
      <w:r w:rsidRPr="00117FC4">
        <w:rPr>
          <w:rFonts w:eastAsia="Calibri" w:cs="Times New Roman"/>
          <w:szCs w:val="24"/>
          <w:lang w:eastAsia="en-US"/>
        </w:rPr>
        <w:t xml:space="preserve">(UE) nr 1303/2013 </w:t>
      </w:r>
      <w:r w:rsidRPr="00117FC4">
        <w:rPr>
          <w:rFonts w:eastAsia="Times New Roman"/>
          <w:szCs w:val="24"/>
        </w:rPr>
        <w:t>ustanawia wspólne przepisy mające zastosowanie do</w:t>
      </w:r>
      <w:r w:rsidR="00516B2D">
        <w:rPr>
          <w:rFonts w:eastAsia="Times New Roman"/>
          <w:szCs w:val="24"/>
        </w:rPr>
        <w:t> </w:t>
      </w:r>
      <w:r w:rsidRPr="00117FC4">
        <w:rPr>
          <w:rFonts w:eastAsia="Times New Roman"/>
          <w:szCs w:val="24"/>
        </w:rPr>
        <w:t xml:space="preserve"> EFRROW i innych funduszy, które funkcjonują na podstawie wspólnych ram. Rozporządzenie to, zgodnie z przepisami rozporządzenia przejściowego, nadal ma zastosowanie do programów wspieranych z EFRROW w okresie programowania 2014–2020 oraz w latach programowania 2021 i 2022. Przy czym EFRROW, na mocy art. 4 rozporządzenia przejściowego, może wspierać koszty budowania zdolności i działań przygotowawczych wspierających opracowywanie i przyszłą realizację LSR na podstawie nowych ram prawnych. </w:t>
      </w:r>
    </w:p>
    <w:p w14:paraId="44F92E80" w14:textId="77777777" w:rsidR="004644C1" w:rsidRPr="00117FC4" w:rsidRDefault="004644C1" w:rsidP="00751BD6">
      <w:pPr>
        <w:widowControl/>
        <w:suppressAutoHyphens/>
        <w:autoSpaceDE/>
        <w:autoSpaceDN/>
        <w:adjustRightInd/>
        <w:spacing w:before="120"/>
        <w:jc w:val="both"/>
        <w:rPr>
          <w:rFonts w:eastAsia="Times New Roman"/>
          <w:szCs w:val="24"/>
        </w:rPr>
      </w:pPr>
      <w:r w:rsidRPr="00117FC4">
        <w:rPr>
          <w:rFonts w:eastAsia="Times New Roman"/>
          <w:szCs w:val="24"/>
        </w:rPr>
        <w:t>Należy jednak mieć na uwadze, iż przygotowanie oraz wybór nowych LSR muszą być zgodny z regulacjami rozporządzenia CPR.</w:t>
      </w:r>
    </w:p>
    <w:p w14:paraId="2679B7D2" w14:textId="77777777" w:rsidR="002417C9" w:rsidRPr="00D41084" w:rsidRDefault="004644C1" w:rsidP="002417C9">
      <w:pPr>
        <w:suppressAutoHyphens/>
        <w:spacing w:before="120"/>
        <w:jc w:val="both"/>
        <w:rPr>
          <w:rFonts w:eastAsia="Times New Roman"/>
          <w:szCs w:val="24"/>
        </w:rPr>
      </w:pPr>
      <w:r w:rsidRPr="00117FC4">
        <w:rPr>
          <w:rFonts w:eastAsia="Times New Roman"/>
          <w:szCs w:val="24"/>
        </w:rPr>
        <w:t>Z uwagi natomiast na specyfikę obszarów zależnych od rybactwa oraz mając na względzie zwiększenie udziału instrumentu RLKS w osiąganiu społeczno-ekonomicznych i</w:t>
      </w:r>
      <w:r w:rsidR="00CA048C">
        <w:rPr>
          <w:rFonts w:eastAsia="Times New Roman"/>
          <w:szCs w:val="24"/>
        </w:rPr>
        <w:t> </w:t>
      </w:r>
      <w:r w:rsidRPr="00117FC4">
        <w:rPr>
          <w:rFonts w:eastAsia="Times New Roman"/>
          <w:szCs w:val="24"/>
        </w:rPr>
        <w:t xml:space="preserve"> środowiskowych celów Wspólnej Polityki Rybackiej, przyjęty zostanie odrębny tryb i</w:t>
      </w:r>
      <w:r w:rsidR="00CA048C">
        <w:rPr>
          <w:rFonts w:eastAsia="Times New Roman"/>
          <w:szCs w:val="24"/>
        </w:rPr>
        <w:t> </w:t>
      </w:r>
      <w:r w:rsidRPr="00117FC4">
        <w:rPr>
          <w:rFonts w:eastAsia="Times New Roman"/>
          <w:szCs w:val="24"/>
        </w:rPr>
        <w:t xml:space="preserve"> warunki wyboru monofunduszowych LSR oraz funkcjonowania Rybackich LGD w</w:t>
      </w:r>
      <w:r w:rsidR="00CA048C">
        <w:rPr>
          <w:rFonts w:eastAsia="Times New Roman"/>
          <w:szCs w:val="24"/>
        </w:rPr>
        <w:t> </w:t>
      </w:r>
      <w:r w:rsidRPr="00117FC4">
        <w:rPr>
          <w:rFonts w:eastAsia="Times New Roman"/>
          <w:szCs w:val="24"/>
        </w:rPr>
        <w:t xml:space="preserve"> przypadku programu współfinansowanego ze środków EFMRA na lata 2021–2027. Tym samym, spod regulacji ustawy o RLKS wybór LSR i wdrażanie RLKS przy wykorzystaniu EFMRA na lata 2021–2027 zostają wyłączone. Jednoczenie zostają utrzymane w mocy aktualnie obowiązujące regulacji dotyczące LSR wdrażanych obecnie przy wykorzystaniu środków Europejskiego Funduszu Morskiego i Rybackiego.</w:t>
      </w:r>
      <w:r w:rsidR="002417C9" w:rsidRPr="002417C9">
        <w:rPr>
          <w:rFonts w:eastAsia="Times New Roman"/>
          <w:szCs w:val="24"/>
        </w:rPr>
        <w:t xml:space="preserve"> </w:t>
      </w:r>
      <w:r w:rsidR="002417C9" w:rsidRPr="00D41084">
        <w:rPr>
          <w:rFonts w:eastAsia="Times New Roman"/>
          <w:szCs w:val="24"/>
        </w:rPr>
        <w:t>Wobec powyższego podjęto również decyzję o:</w:t>
      </w:r>
    </w:p>
    <w:p w14:paraId="268DCC88" w14:textId="77777777" w:rsidR="002417C9" w:rsidRPr="00D41084" w:rsidRDefault="002417C9" w:rsidP="002417C9">
      <w:pPr>
        <w:pStyle w:val="Akapitzlist"/>
        <w:numPr>
          <w:ilvl w:val="0"/>
          <w:numId w:val="22"/>
        </w:numPr>
        <w:suppressAutoHyphens/>
        <w:spacing w:before="120"/>
        <w:jc w:val="both"/>
        <w:rPr>
          <w:rFonts w:eastAsia="Times New Roman"/>
          <w:szCs w:val="24"/>
        </w:rPr>
      </w:pPr>
      <w:r w:rsidRPr="00D41084">
        <w:rPr>
          <w:rFonts w:eastAsia="Times New Roman"/>
          <w:szCs w:val="24"/>
        </w:rPr>
        <w:t>uchyleniu zapisów dot. m.in. przedstawiciela ministra właściwego do spraw rybołówstwa ze składu komisji, o którym mowa w art. 3 ust. 4 ustawy o RLKS,</w:t>
      </w:r>
    </w:p>
    <w:p w14:paraId="28EC3DB2" w14:textId="77777777" w:rsidR="002417C9" w:rsidRPr="00D41084" w:rsidRDefault="002417C9" w:rsidP="002417C9">
      <w:pPr>
        <w:pStyle w:val="Akapitzlist"/>
        <w:numPr>
          <w:ilvl w:val="0"/>
          <w:numId w:val="22"/>
        </w:numPr>
        <w:suppressAutoHyphens/>
        <w:spacing w:before="120"/>
        <w:jc w:val="both"/>
        <w:rPr>
          <w:rFonts w:eastAsia="Times New Roman"/>
          <w:szCs w:val="24"/>
        </w:rPr>
      </w:pPr>
      <w:r w:rsidRPr="00D41084">
        <w:rPr>
          <w:rFonts w:eastAsia="Times New Roman"/>
          <w:szCs w:val="24"/>
        </w:rPr>
        <w:t>wykreśleniu ministra właściwego do spraw rybołówstwa w odniesieniu do formularzy lub regulaminu, o których mowa odpowiednio w art. 7, art 14 ust 2 i art. 15 ustawy o</w:t>
      </w:r>
      <w:r w:rsidR="00961451">
        <w:rPr>
          <w:rFonts w:eastAsia="Times New Roman"/>
          <w:szCs w:val="24"/>
        </w:rPr>
        <w:t> </w:t>
      </w:r>
      <w:r w:rsidRPr="00D41084">
        <w:rPr>
          <w:rFonts w:eastAsia="Times New Roman"/>
          <w:szCs w:val="24"/>
        </w:rPr>
        <w:t xml:space="preserve"> RLKS.</w:t>
      </w:r>
    </w:p>
    <w:p w14:paraId="0A07A9AA" w14:textId="77777777" w:rsidR="002417C9" w:rsidRPr="00D41084" w:rsidRDefault="002417C9" w:rsidP="002417C9">
      <w:pPr>
        <w:widowControl/>
        <w:suppressAutoHyphens/>
        <w:autoSpaceDE/>
        <w:autoSpaceDN/>
        <w:adjustRightInd/>
        <w:spacing w:before="120"/>
        <w:jc w:val="both"/>
        <w:rPr>
          <w:rFonts w:eastAsia="Times New Roman"/>
          <w:szCs w:val="24"/>
        </w:rPr>
      </w:pPr>
      <w:r w:rsidRPr="00D41084">
        <w:rPr>
          <w:rFonts w:eastAsia="Times New Roman"/>
          <w:szCs w:val="24"/>
        </w:rPr>
        <w:t xml:space="preserve">Mając powyższe na uwadze, zachodzi konieczność aktualizacji przepisów ustawy o RLKS </w:t>
      </w:r>
      <w:r w:rsidRPr="00D41084">
        <w:rPr>
          <w:rFonts w:eastAsia="Times New Roman"/>
          <w:szCs w:val="24"/>
        </w:rPr>
        <w:br/>
        <w:t>w zakresie wejścia</w:t>
      </w:r>
      <w:r>
        <w:rPr>
          <w:rFonts w:eastAsia="Times New Roman"/>
          <w:szCs w:val="24"/>
        </w:rPr>
        <w:t xml:space="preserve"> w życie nowej podstawy prawnej</w:t>
      </w:r>
      <w:r w:rsidR="00961451">
        <w:rPr>
          <w:rFonts w:eastAsia="Times New Roman"/>
          <w:szCs w:val="24"/>
        </w:rPr>
        <w:t>,</w:t>
      </w:r>
      <w:r>
        <w:rPr>
          <w:rFonts w:eastAsia="Times New Roman"/>
          <w:szCs w:val="24"/>
        </w:rPr>
        <w:t xml:space="preserve"> tj. </w:t>
      </w:r>
      <w:r w:rsidRPr="00117FC4">
        <w:rPr>
          <w:rFonts w:eastAsia="Times New Roman"/>
        </w:rPr>
        <w:t>rozporządzeni</w:t>
      </w:r>
      <w:r>
        <w:rPr>
          <w:rFonts w:eastAsia="Times New Roman"/>
        </w:rPr>
        <w:t>a</w:t>
      </w:r>
      <w:r w:rsidRPr="00117FC4">
        <w:rPr>
          <w:rFonts w:eastAsia="Times New Roman"/>
        </w:rPr>
        <w:t xml:space="preserve"> CPR</w:t>
      </w:r>
      <w:r>
        <w:rPr>
          <w:rFonts w:eastAsia="Times New Roman"/>
        </w:rPr>
        <w:t xml:space="preserve"> przy jednoczesnym okresie przejściowym dla EFRROW</w:t>
      </w:r>
      <w:r w:rsidRPr="00D41084">
        <w:rPr>
          <w:rFonts w:eastAsia="Times New Roman"/>
          <w:szCs w:val="24"/>
        </w:rPr>
        <w:t xml:space="preserve"> oraz faktu braku realizacji RLKS z</w:t>
      </w:r>
      <w:r w:rsidR="00961451">
        <w:rPr>
          <w:rFonts w:eastAsia="Times New Roman"/>
          <w:szCs w:val="24"/>
        </w:rPr>
        <w:t> </w:t>
      </w:r>
      <w:r w:rsidRPr="00D41084">
        <w:rPr>
          <w:rFonts w:eastAsia="Times New Roman"/>
          <w:szCs w:val="24"/>
        </w:rPr>
        <w:t xml:space="preserve"> udziałem środków EFMRA na lata 2021–2027.</w:t>
      </w:r>
    </w:p>
    <w:p w14:paraId="6304839F" w14:textId="7E383648" w:rsidR="002417C9" w:rsidRDefault="00003AED" w:rsidP="002417C9">
      <w:pPr>
        <w:widowControl/>
        <w:suppressAutoHyphens/>
        <w:autoSpaceDE/>
        <w:autoSpaceDN/>
        <w:adjustRightInd/>
        <w:spacing w:before="120"/>
        <w:jc w:val="both"/>
        <w:rPr>
          <w:rFonts w:eastAsia="Times New Roman"/>
        </w:rPr>
      </w:pPr>
      <w:r w:rsidRPr="009D2A78">
        <w:rPr>
          <w:rFonts w:eastAsia="Times New Roman"/>
        </w:rPr>
        <w:t>Jednocześnie, mając na uwadze zmiany w zakresie pojęć (nazewnictwa) używanych w</w:t>
      </w:r>
      <w:r w:rsidR="00F03685">
        <w:rPr>
          <w:rFonts w:eastAsia="Times New Roman"/>
        </w:rPr>
        <w:t> </w:t>
      </w:r>
      <w:r w:rsidRPr="009D2A78">
        <w:rPr>
          <w:rFonts w:eastAsia="Times New Roman"/>
        </w:rPr>
        <w:t xml:space="preserve"> przepisach UE</w:t>
      </w:r>
      <w:r w:rsidR="00AB6AF5">
        <w:rPr>
          <w:rFonts w:eastAsia="Times New Roman"/>
        </w:rPr>
        <w:t xml:space="preserve"> oraz wyłączenie spod rozporządzenia CPR wsparcia z </w:t>
      </w:r>
      <w:r w:rsidR="00AB6AF5" w:rsidRPr="00AB6AF5">
        <w:rPr>
          <w:rFonts w:eastAsia="Times New Roman"/>
        </w:rPr>
        <w:t>EFROW</w:t>
      </w:r>
      <w:r w:rsidR="00AB6AF5">
        <w:rPr>
          <w:rFonts w:eastAsia="Times New Roman"/>
        </w:rPr>
        <w:t xml:space="preserve">, które będzie realizowane </w:t>
      </w:r>
      <w:r w:rsidR="00AB6AF5" w:rsidRPr="00AB6AF5">
        <w:rPr>
          <w:rFonts w:eastAsia="Times New Roman"/>
        </w:rPr>
        <w:t>na podstawie odrębnego rozporządzenia dot. planów strategicznych w ramach wspólnej polityki rolnej</w:t>
      </w:r>
      <w:r w:rsidRPr="009D2A78">
        <w:rPr>
          <w:rFonts w:eastAsia="Times New Roman"/>
        </w:rPr>
        <w:t xml:space="preserve">, </w:t>
      </w:r>
      <w:r w:rsidR="002417C9" w:rsidRPr="009D2A78">
        <w:rPr>
          <w:rFonts w:eastAsia="Times New Roman"/>
        </w:rPr>
        <w:t xml:space="preserve">w </w:t>
      </w:r>
      <w:r w:rsidR="002417C9" w:rsidRPr="009D2A78">
        <w:t xml:space="preserve">art. </w:t>
      </w:r>
      <w:r w:rsidR="00BC551A">
        <w:t>4</w:t>
      </w:r>
      <w:r w:rsidR="002417C9" w:rsidRPr="009D2A78">
        <w:t xml:space="preserve"> pkt </w:t>
      </w:r>
      <w:r w:rsidR="00AB6AF5">
        <w:t xml:space="preserve">1 lit. b tiret </w:t>
      </w:r>
      <w:r w:rsidR="0041544D">
        <w:t xml:space="preserve">trzecie </w:t>
      </w:r>
      <w:r w:rsidR="00AB6AF5">
        <w:t>oraz pkt 3 lit. a</w:t>
      </w:r>
      <w:r w:rsidR="002417C9" w:rsidRPr="009D2A78">
        <w:t xml:space="preserve"> </w:t>
      </w:r>
      <w:r w:rsidR="002417C9" w:rsidRPr="009D2A78">
        <w:rPr>
          <w:rFonts w:eastAsia="Times New Roman"/>
          <w:szCs w:val="24"/>
        </w:rPr>
        <w:t>projektowanej ustawy</w:t>
      </w:r>
      <w:r w:rsidR="002417C9" w:rsidRPr="009D2A78">
        <w:rPr>
          <w:rFonts w:eastAsia="Times New Roman"/>
        </w:rPr>
        <w:t xml:space="preserve"> </w:t>
      </w:r>
      <w:r w:rsidR="002417C9" w:rsidRPr="009D2A78">
        <w:rPr>
          <w:rFonts w:eastAsia="Times New Roman"/>
        </w:rPr>
        <w:lastRenderedPageBreak/>
        <w:t xml:space="preserve">zaproponowano nadanie nowego brzmienia dla art. </w:t>
      </w:r>
      <w:r w:rsidR="00AB6AF5">
        <w:rPr>
          <w:rFonts w:eastAsia="Times New Roman"/>
        </w:rPr>
        <w:t xml:space="preserve">1 pkt 2 lit. c oraz art. </w:t>
      </w:r>
      <w:r w:rsidR="002417C9" w:rsidRPr="009D2A78">
        <w:rPr>
          <w:rFonts w:eastAsia="Times New Roman"/>
        </w:rPr>
        <w:t>2 ust.</w:t>
      </w:r>
      <w:r w:rsidR="00961451" w:rsidRPr="009D2A78">
        <w:rPr>
          <w:rFonts w:eastAsia="Times New Roman"/>
        </w:rPr>
        <w:t> </w:t>
      </w:r>
      <w:r w:rsidR="002417C9" w:rsidRPr="009D2A78">
        <w:rPr>
          <w:rFonts w:eastAsia="Times New Roman"/>
        </w:rPr>
        <w:t>1 ustawy o</w:t>
      </w:r>
      <w:r w:rsidR="0041544D">
        <w:rPr>
          <w:rFonts w:eastAsia="Times New Roman"/>
        </w:rPr>
        <w:t> </w:t>
      </w:r>
      <w:r w:rsidR="002417C9" w:rsidRPr="009D2A78">
        <w:rPr>
          <w:rFonts w:eastAsia="Times New Roman"/>
        </w:rPr>
        <w:t xml:space="preserve"> RLKS, który definiuje pojęcie </w:t>
      </w:r>
      <w:r w:rsidR="00AB6AF5">
        <w:rPr>
          <w:rFonts w:eastAsia="Times New Roman"/>
        </w:rPr>
        <w:t xml:space="preserve">„EFSI” oraz </w:t>
      </w:r>
      <w:r w:rsidR="002417C9" w:rsidRPr="009D2A78">
        <w:rPr>
          <w:rFonts w:eastAsia="Times New Roman"/>
        </w:rPr>
        <w:t>„programy”</w:t>
      </w:r>
      <w:r w:rsidRPr="009D2A78">
        <w:rPr>
          <w:rFonts w:eastAsia="Times New Roman"/>
        </w:rPr>
        <w:t>, a</w:t>
      </w:r>
      <w:r w:rsidR="002417C9" w:rsidRPr="009D2A78">
        <w:rPr>
          <w:rFonts w:eastAsia="Times New Roman"/>
        </w:rPr>
        <w:t xml:space="preserve"> w </w:t>
      </w:r>
      <w:r w:rsidR="002417C9" w:rsidRPr="009D2A78">
        <w:t xml:space="preserve">art. </w:t>
      </w:r>
      <w:r w:rsidR="00BC551A">
        <w:t>4</w:t>
      </w:r>
      <w:r w:rsidR="002417C9" w:rsidRPr="009D2A78">
        <w:t xml:space="preserve"> pkt 7 lit</w:t>
      </w:r>
      <w:r w:rsidR="00567D41">
        <w:t>.</w:t>
      </w:r>
      <w:r w:rsidR="002417C9" w:rsidRPr="009D2A78">
        <w:t xml:space="preserve"> a tiret drugie </w:t>
      </w:r>
      <w:r w:rsidR="002417C9" w:rsidRPr="009D2A78">
        <w:rPr>
          <w:rFonts w:eastAsia="Times New Roman"/>
          <w:szCs w:val="24"/>
        </w:rPr>
        <w:t>projektowanej ustawy</w:t>
      </w:r>
      <w:r w:rsidR="00AB6AF5">
        <w:rPr>
          <w:rFonts w:eastAsia="Times New Roman"/>
          <w:szCs w:val="24"/>
        </w:rPr>
        <w:t xml:space="preserve"> </w:t>
      </w:r>
      <w:r w:rsidR="00AB6AF5">
        <w:rPr>
          <w:rFonts w:eastAsia="Times New Roman"/>
        </w:rPr>
        <w:t xml:space="preserve">wprowadzono </w:t>
      </w:r>
      <w:r w:rsidR="00AB6AF5" w:rsidRPr="00AB6AF5">
        <w:rPr>
          <w:rFonts w:eastAsia="Times New Roman"/>
        </w:rPr>
        <w:t>zmian</w:t>
      </w:r>
      <w:r w:rsidR="00AB6AF5">
        <w:rPr>
          <w:rFonts w:eastAsia="Times New Roman"/>
        </w:rPr>
        <w:t>ę</w:t>
      </w:r>
      <w:r w:rsidR="00AB6AF5" w:rsidRPr="00AB6AF5">
        <w:rPr>
          <w:rFonts w:eastAsia="Times New Roman"/>
        </w:rPr>
        <w:t xml:space="preserve"> nazwy Europejskiego Funduszu Społecznego na </w:t>
      </w:r>
      <w:r w:rsidR="002417C9" w:rsidRPr="009D2A78">
        <w:t>Europejski Funduszu Społeczny Plus</w:t>
      </w:r>
      <w:r w:rsidR="002417C9" w:rsidRPr="009D2A78">
        <w:rPr>
          <w:rFonts w:eastAsia="Times New Roman"/>
        </w:rPr>
        <w:t xml:space="preserve"> w art. 5 ust. 1 pkt 2 lit. b ustawy o RLKS.</w:t>
      </w:r>
    </w:p>
    <w:p w14:paraId="3DE636F5" w14:textId="75616FD5" w:rsidR="00B52DC6" w:rsidRDefault="0085034B" w:rsidP="002417C9">
      <w:pPr>
        <w:widowControl/>
        <w:suppressAutoHyphens/>
        <w:autoSpaceDE/>
        <w:autoSpaceDN/>
        <w:adjustRightInd/>
        <w:spacing w:before="120"/>
        <w:jc w:val="both"/>
        <w:rPr>
          <w:rFonts w:eastAsia="Times New Roman"/>
        </w:rPr>
      </w:pPr>
      <w:r>
        <w:rPr>
          <w:rFonts w:eastAsia="Times New Roman"/>
        </w:rPr>
        <w:t xml:space="preserve">Z kolei w art. 4 pkt 3 lit. b projektowanej ustawy uchyla się art. 2 ust. 2 ustawy o RLKS dotyczący </w:t>
      </w:r>
      <w:r w:rsidRPr="00F96F5C">
        <w:rPr>
          <w:rFonts w:eastAsia="Times New Roman"/>
        </w:rPr>
        <w:t>zadań wykonywanych przez zarząd województwa</w:t>
      </w:r>
      <w:r>
        <w:rPr>
          <w:rFonts w:eastAsia="Times New Roman"/>
        </w:rPr>
        <w:t xml:space="preserve"> </w:t>
      </w:r>
      <w:r w:rsidR="00F96F5C">
        <w:rPr>
          <w:rFonts w:eastAsia="Times New Roman"/>
        </w:rPr>
        <w:t>z uwagi na porządkujący charakter przepisu</w:t>
      </w:r>
      <w:r w:rsidR="00B52DC6">
        <w:rPr>
          <w:rFonts w:eastAsia="Times New Roman"/>
        </w:rPr>
        <w:t xml:space="preserve"> oraz </w:t>
      </w:r>
      <w:r w:rsidR="002B688B">
        <w:rPr>
          <w:rFonts w:eastAsia="Times New Roman"/>
        </w:rPr>
        <w:t xml:space="preserve">jego </w:t>
      </w:r>
      <w:r>
        <w:rPr>
          <w:rFonts w:eastAsia="Times New Roman"/>
        </w:rPr>
        <w:t xml:space="preserve">czysto informacyjny </w:t>
      </w:r>
      <w:r w:rsidR="00B52DC6">
        <w:rPr>
          <w:rFonts w:eastAsia="Times New Roman"/>
        </w:rPr>
        <w:t>walor</w:t>
      </w:r>
      <w:r w:rsidR="00F96F5C">
        <w:rPr>
          <w:rFonts w:eastAsia="Times New Roman"/>
        </w:rPr>
        <w:t xml:space="preserve">. </w:t>
      </w:r>
      <w:r w:rsidR="00B52DC6">
        <w:rPr>
          <w:rFonts w:eastAsia="Times New Roman"/>
        </w:rPr>
        <w:t>T</w:t>
      </w:r>
      <w:r w:rsidR="00B52DC6" w:rsidRPr="00B52DC6">
        <w:rPr>
          <w:rFonts w:eastAsia="Times New Roman"/>
        </w:rPr>
        <w:t xml:space="preserve">ożsame regulacje wynikają </w:t>
      </w:r>
      <w:r w:rsidR="00B52DC6">
        <w:rPr>
          <w:rFonts w:eastAsia="Times New Roman"/>
        </w:rPr>
        <w:t xml:space="preserve">bowiem </w:t>
      </w:r>
      <w:r w:rsidR="00B52DC6" w:rsidRPr="00B52DC6">
        <w:rPr>
          <w:rFonts w:eastAsia="Times New Roman"/>
        </w:rPr>
        <w:t>wprost z</w:t>
      </w:r>
      <w:r w:rsidR="00C24DB6">
        <w:rPr>
          <w:rFonts w:eastAsia="Times New Roman"/>
        </w:rPr>
        <w:t xml:space="preserve"> ustaw</w:t>
      </w:r>
      <w:r w:rsidR="00795144" w:rsidRPr="00795144">
        <w:rPr>
          <w:rFonts w:eastAsia="Times New Roman"/>
        </w:rPr>
        <w:t xml:space="preserve"> </w:t>
      </w:r>
      <w:r w:rsidR="00795144" w:rsidRPr="00B52DC6">
        <w:rPr>
          <w:rFonts w:eastAsia="Times New Roman"/>
        </w:rPr>
        <w:t>z dnia</w:t>
      </w:r>
      <w:r w:rsidR="00B52DC6">
        <w:rPr>
          <w:rFonts w:eastAsia="Times New Roman"/>
        </w:rPr>
        <w:t>:</w:t>
      </w:r>
    </w:p>
    <w:p w14:paraId="73E47653" w14:textId="2644A3D3" w:rsidR="00B52DC6" w:rsidRPr="00795144" w:rsidRDefault="00B52DC6" w:rsidP="00795144">
      <w:pPr>
        <w:pStyle w:val="Akapitzlist"/>
        <w:widowControl/>
        <w:numPr>
          <w:ilvl w:val="0"/>
          <w:numId w:val="27"/>
        </w:numPr>
        <w:suppressAutoHyphens/>
        <w:autoSpaceDE/>
        <w:autoSpaceDN/>
        <w:adjustRightInd/>
        <w:spacing w:before="120"/>
        <w:jc w:val="both"/>
        <w:rPr>
          <w:rFonts w:eastAsia="Times New Roman"/>
        </w:rPr>
      </w:pPr>
      <w:r w:rsidRPr="00795144">
        <w:rPr>
          <w:rFonts w:eastAsia="Times New Roman"/>
        </w:rPr>
        <w:t>11 lipca 2014 r. o zasadach realizacji programów w zakresie polityki spójności finansowanych w perspektywie finansowej 2014-2020 (</w:t>
      </w:r>
      <w:r w:rsidR="00795144">
        <w:t>Dz. U. z 2020 r. poz. 818),</w:t>
      </w:r>
    </w:p>
    <w:p w14:paraId="2A73DCDC" w14:textId="0B742EBA" w:rsidR="00B52DC6" w:rsidRPr="00795144" w:rsidRDefault="00C24DB6" w:rsidP="00795144">
      <w:pPr>
        <w:pStyle w:val="Akapitzlist"/>
        <w:widowControl/>
        <w:numPr>
          <w:ilvl w:val="0"/>
          <w:numId w:val="27"/>
        </w:numPr>
        <w:suppressAutoHyphens/>
        <w:autoSpaceDE/>
        <w:autoSpaceDN/>
        <w:adjustRightInd/>
        <w:spacing w:before="120"/>
        <w:jc w:val="both"/>
        <w:rPr>
          <w:rFonts w:eastAsia="Times New Roman"/>
        </w:rPr>
      </w:pPr>
      <w:r w:rsidRPr="00117212">
        <w:t>20</w:t>
      </w:r>
      <w:r>
        <w:t> </w:t>
      </w:r>
      <w:r w:rsidRPr="00117212">
        <w:t>lutego 2015</w:t>
      </w:r>
      <w:r>
        <w:t> </w:t>
      </w:r>
      <w:r w:rsidRPr="00117212">
        <w:t>r. o</w:t>
      </w:r>
      <w:r>
        <w:t> </w:t>
      </w:r>
      <w:r w:rsidRPr="00117212">
        <w:t>wspieraniu rozwoju obszarów wiejskich z</w:t>
      </w:r>
      <w:r>
        <w:t> </w:t>
      </w:r>
      <w:r w:rsidRPr="00117212">
        <w:t xml:space="preserve">udziałem środków Europejskiego </w:t>
      </w:r>
      <w:r w:rsidRPr="0077737E">
        <w:t>Funduszu</w:t>
      </w:r>
      <w:r w:rsidRPr="00117212">
        <w:t xml:space="preserve"> Rolnego na rzecz Rozwoju Obszarów Wiejskich w</w:t>
      </w:r>
      <w:r>
        <w:t> </w:t>
      </w:r>
      <w:r w:rsidRPr="00117212">
        <w:t>ramach Programu Rozwoju Obszarów Wiejskich na lata 2014–2020</w:t>
      </w:r>
      <w:r>
        <w:t> </w:t>
      </w:r>
      <w:r w:rsidRPr="00117212">
        <w:t>(</w:t>
      </w:r>
      <w:r>
        <w:t>Dz. U.</w:t>
      </w:r>
      <w:r w:rsidRPr="00117212">
        <w:t xml:space="preserve"> z</w:t>
      </w:r>
      <w:r>
        <w:t> </w:t>
      </w:r>
      <w:r w:rsidRPr="00117212">
        <w:t>2021</w:t>
      </w:r>
      <w:r>
        <w:t> </w:t>
      </w:r>
      <w:r w:rsidRPr="00117212">
        <w:t>r.</w:t>
      </w:r>
      <w:r>
        <w:t xml:space="preserve"> poz. </w:t>
      </w:r>
      <w:r w:rsidRPr="00117212">
        <w:t>182</w:t>
      </w:r>
      <w:r>
        <w:t xml:space="preserve"> i 904</w:t>
      </w:r>
      <w:r w:rsidRPr="00117212">
        <w:t>)</w:t>
      </w:r>
      <w:r w:rsidR="00795144">
        <w:t>,</w:t>
      </w:r>
    </w:p>
    <w:p w14:paraId="5728056B" w14:textId="6C05117C" w:rsidR="00B52DC6" w:rsidRPr="00795144" w:rsidRDefault="00C24DB6" w:rsidP="00795144">
      <w:pPr>
        <w:pStyle w:val="Akapitzlist"/>
        <w:widowControl/>
        <w:numPr>
          <w:ilvl w:val="0"/>
          <w:numId w:val="27"/>
        </w:numPr>
        <w:suppressAutoHyphens/>
        <w:autoSpaceDE/>
        <w:autoSpaceDN/>
        <w:adjustRightInd/>
        <w:spacing w:before="120"/>
        <w:jc w:val="both"/>
        <w:rPr>
          <w:rFonts w:eastAsia="Times New Roman"/>
        </w:rPr>
      </w:pPr>
      <w:r w:rsidRPr="00795144">
        <w:rPr>
          <w:rFonts w:eastAsia="Times New Roman"/>
        </w:rPr>
        <w:t xml:space="preserve">10 lipca 2015 r. o wspieraniu zrównoważonego rozwoju sektora rybackiego z udziałem Europejskiego Funduszu Morskiego i Rybackiego (Dz. U. z 2020 r. poz. </w:t>
      </w:r>
      <w:r w:rsidR="00795144">
        <w:rPr>
          <w:rFonts w:eastAsia="Times New Roman"/>
        </w:rPr>
        <w:t>2140</w:t>
      </w:r>
      <w:r w:rsidRPr="00795144">
        <w:rPr>
          <w:rFonts w:eastAsia="Times New Roman"/>
        </w:rPr>
        <w:t>).</w:t>
      </w:r>
    </w:p>
    <w:p w14:paraId="76B265B8" w14:textId="75FB278A" w:rsidR="00F96F5C" w:rsidRPr="00D41084" w:rsidRDefault="00C24DB6" w:rsidP="00B52DC6">
      <w:pPr>
        <w:widowControl/>
        <w:suppressAutoHyphens/>
        <w:autoSpaceDE/>
        <w:autoSpaceDN/>
        <w:adjustRightInd/>
        <w:spacing w:before="120"/>
        <w:jc w:val="both"/>
        <w:rPr>
          <w:rFonts w:eastAsia="Times New Roman"/>
        </w:rPr>
      </w:pPr>
      <w:r>
        <w:rPr>
          <w:szCs w:val="24"/>
        </w:rPr>
        <w:t>Należy również zauważyć, że tożsame regulacje dot</w:t>
      </w:r>
      <w:r w:rsidR="000B1B0C">
        <w:rPr>
          <w:szCs w:val="24"/>
        </w:rPr>
        <w:t>yczące</w:t>
      </w:r>
      <w:r>
        <w:rPr>
          <w:szCs w:val="24"/>
        </w:rPr>
        <w:t xml:space="preserve"> RLKS zostaną na nowo określone</w:t>
      </w:r>
      <w:r>
        <w:rPr>
          <w:szCs w:val="24"/>
        </w:rPr>
        <w:br/>
        <w:t xml:space="preserve">w aktach prawnych wdrażających wsparcie </w:t>
      </w:r>
      <w:r w:rsidRPr="00447D31">
        <w:t>z udziałem funduszy</w:t>
      </w:r>
      <w:r>
        <w:t>, w ramach których przewidziane jest finansowanie rozwoju lokalnego kierowanego przez społeczność.</w:t>
      </w:r>
      <w:r>
        <w:rPr>
          <w:szCs w:val="24"/>
        </w:rPr>
        <w:t xml:space="preserve"> </w:t>
      </w:r>
      <w:r w:rsidR="00B52DC6">
        <w:rPr>
          <w:szCs w:val="24"/>
        </w:rPr>
        <w:t>Mając powyższe na uwadze</w:t>
      </w:r>
      <w:r>
        <w:rPr>
          <w:szCs w:val="24"/>
        </w:rPr>
        <w:t xml:space="preserve"> oraz </w:t>
      </w:r>
      <w:r w:rsidR="006B5905" w:rsidRPr="006B5905">
        <w:rPr>
          <w:szCs w:val="24"/>
        </w:rPr>
        <w:t xml:space="preserve">odrębny tryb </w:t>
      </w:r>
      <w:r w:rsidR="006B5905">
        <w:rPr>
          <w:szCs w:val="24"/>
        </w:rPr>
        <w:t xml:space="preserve">wdrażania RLKS </w:t>
      </w:r>
      <w:r w:rsidR="006B5905" w:rsidRPr="006B5905">
        <w:rPr>
          <w:szCs w:val="24"/>
        </w:rPr>
        <w:t>ze środków EFMRA na lata 2021–2027</w:t>
      </w:r>
      <w:r w:rsidR="00B52DC6">
        <w:rPr>
          <w:szCs w:val="24"/>
        </w:rPr>
        <w:t xml:space="preserve"> nie ma </w:t>
      </w:r>
      <w:r w:rsidR="002B688B">
        <w:rPr>
          <w:szCs w:val="24"/>
        </w:rPr>
        <w:t xml:space="preserve">potrzeby </w:t>
      </w:r>
      <w:r w:rsidR="00B52DC6">
        <w:rPr>
          <w:szCs w:val="24"/>
        </w:rPr>
        <w:t>powielenia przepisów w tym zakresie w ustawie o RLKS.</w:t>
      </w:r>
      <w:r w:rsidR="00B52DC6">
        <w:rPr>
          <w:rFonts w:eastAsia="Times New Roman"/>
        </w:rPr>
        <w:t xml:space="preserve">  </w:t>
      </w:r>
    </w:p>
    <w:p w14:paraId="3F3A52B0" w14:textId="3F28DD28" w:rsidR="002417C9" w:rsidRPr="00D41084" w:rsidRDefault="002417C9" w:rsidP="002417C9">
      <w:pPr>
        <w:widowControl/>
        <w:suppressAutoHyphens/>
        <w:autoSpaceDE/>
        <w:autoSpaceDN/>
        <w:adjustRightInd/>
        <w:spacing w:before="120"/>
        <w:jc w:val="both"/>
        <w:rPr>
          <w:rFonts w:eastAsia="Times New Roman"/>
          <w:szCs w:val="24"/>
        </w:rPr>
      </w:pPr>
      <w:r w:rsidRPr="00D41084">
        <w:rPr>
          <w:rFonts w:eastAsia="Times New Roman"/>
        </w:rPr>
        <w:t xml:space="preserve">Z kolei w art. </w:t>
      </w:r>
      <w:r w:rsidR="00BC551A">
        <w:rPr>
          <w:rFonts w:eastAsia="Times New Roman"/>
        </w:rPr>
        <w:t>4</w:t>
      </w:r>
      <w:r w:rsidRPr="00D41084">
        <w:rPr>
          <w:rFonts w:eastAsia="Times New Roman"/>
        </w:rPr>
        <w:t xml:space="preserve"> pkt 4 </w:t>
      </w:r>
      <w:r w:rsidRPr="00D41084">
        <w:rPr>
          <w:rFonts w:eastAsia="Times New Roman"/>
          <w:szCs w:val="24"/>
        </w:rPr>
        <w:t>projektowanej ustawy</w:t>
      </w:r>
      <w:r w:rsidRPr="00D41084">
        <w:rPr>
          <w:rFonts w:eastAsia="Times New Roman"/>
        </w:rPr>
        <w:t xml:space="preserve"> wprowadzana jest aktualizacja przepisów art. 3 ustawy o RLKS, na podstawie których </w:t>
      </w:r>
      <w:r w:rsidRPr="00D41084">
        <w:t>będzie działać komisja dokonująca wyboru LSR</w:t>
      </w:r>
      <w:r w:rsidRPr="00D41084">
        <w:rPr>
          <w:rFonts w:eastAsia="Times New Roman"/>
          <w:szCs w:val="24"/>
        </w:rPr>
        <w:t>. Należy bowiem zauważyć, że komisje powołane na podstawie rozporządzenia 1303/2013 i</w:t>
      </w:r>
      <w:r w:rsidR="00961451">
        <w:rPr>
          <w:rFonts w:eastAsia="Times New Roman"/>
          <w:szCs w:val="24"/>
        </w:rPr>
        <w:t> </w:t>
      </w:r>
      <w:r w:rsidRPr="00D41084">
        <w:rPr>
          <w:rFonts w:eastAsia="Times New Roman"/>
          <w:szCs w:val="24"/>
        </w:rPr>
        <w:t>obowiązujących przepisów ustawy o RLKS były powołane do wyłonienia LSR jedynie na lata 2014</w:t>
      </w:r>
      <w:r w:rsidR="00174543">
        <w:rPr>
          <w:rFonts w:eastAsia="Times New Roman"/>
          <w:szCs w:val="24"/>
        </w:rPr>
        <w:t>–</w:t>
      </w:r>
      <w:r w:rsidRPr="00D41084">
        <w:rPr>
          <w:rFonts w:eastAsia="Times New Roman"/>
          <w:szCs w:val="24"/>
        </w:rPr>
        <w:t>2020. Tym samym ich zadanie zostało wykonane. Natomiast mając na uwadze wydłużenie o 2 lata okresu wdrażaniu PROW 2014</w:t>
      </w:r>
      <w:r w:rsidR="00961451">
        <w:rPr>
          <w:rFonts w:eastAsia="Times New Roman"/>
          <w:szCs w:val="24"/>
        </w:rPr>
        <w:t>–</w:t>
      </w:r>
      <w:r w:rsidRPr="00D41084">
        <w:rPr>
          <w:rFonts w:eastAsia="Times New Roman"/>
          <w:szCs w:val="24"/>
        </w:rPr>
        <w:t>202, przy jednoczesnym wdrażaniu programów w ramach polityki spójności od 2021 r., zachodzi potrzebna powołania komisji, które dokonają wyboru LSR na nową perspektywę finansową na podstawie przepisów rozporządzenia CPR. Oczywiście, jeżeli komisje, powołane na mocy rozporządzenia 1303/2013 nie zostały do tej chwili rozwiązane, to nic nie stoi na przeszkodzie, aby po spełnieniu nowych wymogów funkcjonowały na podstawie przepisów rozporządzenia CPR, w</w:t>
      </w:r>
      <w:r w:rsidR="00961451">
        <w:rPr>
          <w:rFonts w:eastAsia="Times New Roman"/>
          <w:szCs w:val="24"/>
        </w:rPr>
        <w:t> </w:t>
      </w:r>
      <w:r w:rsidRPr="00D41084">
        <w:rPr>
          <w:rFonts w:eastAsia="Times New Roman"/>
          <w:szCs w:val="24"/>
        </w:rPr>
        <w:t xml:space="preserve"> celu wyboru nowych LSR: dla EFRROW na lata 2023</w:t>
      </w:r>
      <w:r w:rsidR="00961451">
        <w:rPr>
          <w:rFonts w:eastAsia="Times New Roman"/>
          <w:szCs w:val="24"/>
        </w:rPr>
        <w:t>–</w:t>
      </w:r>
      <w:r w:rsidRPr="00D41084">
        <w:rPr>
          <w:rFonts w:eastAsia="Times New Roman"/>
          <w:szCs w:val="24"/>
        </w:rPr>
        <w:t>2027, a dla RPO na lata 2021</w:t>
      </w:r>
      <w:r w:rsidR="00174543">
        <w:rPr>
          <w:rFonts w:eastAsia="Times New Roman"/>
          <w:szCs w:val="24"/>
        </w:rPr>
        <w:t>–</w:t>
      </w:r>
      <w:r w:rsidRPr="00D41084">
        <w:rPr>
          <w:rFonts w:eastAsia="Times New Roman"/>
          <w:szCs w:val="24"/>
        </w:rPr>
        <w:t>2017.</w:t>
      </w:r>
    </w:p>
    <w:p w14:paraId="3B83014E" w14:textId="62928790" w:rsidR="002417C9" w:rsidRPr="00D41084" w:rsidRDefault="002417C9" w:rsidP="002417C9">
      <w:pPr>
        <w:widowControl/>
        <w:suppressAutoHyphens/>
        <w:autoSpaceDE/>
        <w:autoSpaceDN/>
        <w:adjustRightInd/>
        <w:spacing w:before="120"/>
        <w:jc w:val="both"/>
        <w:rPr>
          <w:rFonts w:eastAsia="Times New Roman"/>
          <w:szCs w:val="24"/>
        </w:rPr>
      </w:pPr>
      <w:r w:rsidRPr="00D41084">
        <w:rPr>
          <w:rFonts w:eastAsia="Times New Roman"/>
          <w:szCs w:val="24"/>
        </w:rPr>
        <w:lastRenderedPageBreak/>
        <w:t xml:space="preserve">Należy jednak zauważyć, że komisję, o której mowa w art. </w:t>
      </w:r>
      <w:r w:rsidR="00174543">
        <w:rPr>
          <w:rFonts w:ascii="Times" w:hAnsi="Times"/>
          <w:bCs/>
        </w:rPr>
        <w:t>32</w:t>
      </w:r>
      <w:r w:rsidR="00174543" w:rsidRPr="00D41084">
        <w:rPr>
          <w:rFonts w:ascii="Times" w:hAnsi="Times"/>
          <w:bCs/>
        </w:rPr>
        <w:t xml:space="preserve"> </w:t>
      </w:r>
      <w:r w:rsidRPr="00D41084">
        <w:rPr>
          <w:rFonts w:ascii="Times" w:hAnsi="Times"/>
          <w:bCs/>
        </w:rPr>
        <w:t>ust. 2 rozporządzenia CPR,</w:t>
      </w:r>
      <w:r w:rsidRPr="00D41084">
        <w:rPr>
          <w:rFonts w:eastAsia="Times New Roman"/>
          <w:szCs w:val="24"/>
        </w:rPr>
        <w:t xml:space="preserve"> jak dotychczas, będzie powoływać zarząd województwa w drodze uchwały, a jej skład pozostaje bez zmian: przedstawiciele zarządu województwa i eksperci. Tak samo bez zmian pozostanie parytet: eksperci stanowić będą co najmniej jedną trzecią składu komisji, a do ich powoływania stosować się będzie odpowiednio art. 68a ustawy z dnia 11 lipca 2014 r. o zasadach realizacji programów w zakresie polityki spójności finansowanych w perspektywie finansowej 2014–</w:t>
      </w:r>
      <w:r w:rsidR="00174543">
        <w:rPr>
          <w:rFonts w:eastAsia="Times New Roman"/>
          <w:szCs w:val="24"/>
        </w:rPr>
        <w:t> </w:t>
      </w:r>
      <w:r w:rsidRPr="00D41084">
        <w:rPr>
          <w:rFonts w:eastAsia="Times New Roman"/>
          <w:szCs w:val="24"/>
        </w:rPr>
        <w:t xml:space="preserve">2020 (Dz. U. z 2020 r. poz. 818), zgodnie z propozycją zmiany, o której mowa w art. </w:t>
      </w:r>
      <w:r w:rsidR="00BC551A">
        <w:rPr>
          <w:rFonts w:eastAsia="Times New Roman"/>
          <w:szCs w:val="24"/>
        </w:rPr>
        <w:t>4</w:t>
      </w:r>
      <w:r w:rsidRPr="00D41084">
        <w:rPr>
          <w:rFonts w:eastAsia="Times New Roman"/>
          <w:szCs w:val="24"/>
        </w:rPr>
        <w:t xml:space="preserve"> pkt 4 lit</w:t>
      </w:r>
      <w:r w:rsidR="00567D41">
        <w:rPr>
          <w:rFonts w:eastAsia="Times New Roman"/>
          <w:szCs w:val="24"/>
        </w:rPr>
        <w:t>.</w:t>
      </w:r>
      <w:r w:rsidRPr="00D41084">
        <w:rPr>
          <w:rFonts w:eastAsia="Times New Roman"/>
          <w:szCs w:val="24"/>
        </w:rPr>
        <w:t xml:space="preserve"> b projektowanej ustawy. W art. </w:t>
      </w:r>
      <w:r w:rsidR="00BC551A">
        <w:rPr>
          <w:rFonts w:eastAsia="Times New Roman"/>
          <w:szCs w:val="24"/>
        </w:rPr>
        <w:t>4</w:t>
      </w:r>
      <w:r w:rsidRPr="00D41084">
        <w:rPr>
          <w:rFonts w:eastAsia="Times New Roman"/>
          <w:szCs w:val="24"/>
        </w:rPr>
        <w:t xml:space="preserve"> pkt 4 lit</w:t>
      </w:r>
      <w:r w:rsidR="00567D41">
        <w:rPr>
          <w:rFonts w:eastAsia="Times New Roman"/>
          <w:szCs w:val="24"/>
        </w:rPr>
        <w:t>.</w:t>
      </w:r>
      <w:r w:rsidRPr="00D41084">
        <w:rPr>
          <w:rFonts w:eastAsia="Times New Roman"/>
          <w:szCs w:val="24"/>
        </w:rPr>
        <w:t xml:space="preserve"> c projektowanej ustawy zaproponowano natomiast uchylenie przepisu art. 3 ust. 4 ustawy o RLKS ze względu na konieczność zapewnienia bezstronności przedstawicieli ministra właściwego ds. rozwoju wsi na etapie ewentualnych odwołań od wyniku oceny LSR pod kątem warunków wyboru składanych do instytucji zarządzającej, którą dla programu finansowanego z EFRROW jest minister właściwy ds. rozwoju wsi, a także wyłączenia spod regulacji ustawy o RLKS wyboru LSR i wdrażania RLKS przy wykorzystaniu EFMRA na lata 2021–2027.</w:t>
      </w:r>
    </w:p>
    <w:p w14:paraId="2BD5DF3C" w14:textId="2A677867" w:rsidR="002417C9" w:rsidRPr="00D41084" w:rsidRDefault="002417C9" w:rsidP="002417C9">
      <w:pPr>
        <w:widowControl/>
        <w:suppressAutoHyphens/>
        <w:autoSpaceDE/>
        <w:autoSpaceDN/>
        <w:adjustRightInd/>
        <w:spacing w:before="120"/>
        <w:jc w:val="both"/>
        <w:rPr>
          <w:rFonts w:eastAsia="Times New Roman"/>
          <w:szCs w:val="24"/>
        </w:rPr>
      </w:pPr>
      <w:r w:rsidRPr="00D41084">
        <w:t xml:space="preserve">Propozycje rozwiązań art. </w:t>
      </w:r>
      <w:r w:rsidR="00BC551A">
        <w:t>4</w:t>
      </w:r>
      <w:r w:rsidRPr="00D41084">
        <w:t xml:space="preserve"> pkt 5 </w:t>
      </w:r>
      <w:r w:rsidRPr="00D41084">
        <w:rPr>
          <w:rFonts w:eastAsia="Times New Roman"/>
          <w:szCs w:val="24"/>
        </w:rPr>
        <w:t>projektowanej ustawy są</w:t>
      </w:r>
      <w:r w:rsidRPr="00D41084">
        <w:rPr>
          <w:rFonts w:eastAsia="Times New Roman"/>
        </w:rPr>
        <w:t xml:space="preserve"> konsekwencją aktualizacji art. 4 ustawy o RLKS dotyczącej tworzenia i funkcjonowania LGD, w związku z wejściem w życie nowej podstawy prawnej</w:t>
      </w:r>
      <w:r w:rsidR="00961451">
        <w:rPr>
          <w:rFonts w:eastAsia="Times New Roman"/>
        </w:rPr>
        <w:t>,</w:t>
      </w:r>
      <w:r w:rsidRPr="00D41084">
        <w:rPr>
          <w:rFonts w:eastAsia="Times New Roman"/>
        </w:rPr>
        <w:t xml:space="preserve"> tj. </w:t>
      </w:r>
      <w:r w:rsidRPr="00D41084">
        <w:t>art. </w:t>
      </w:r>
      <w:r w:rsidR="00174543">
        <w:t>33</w:t>
      </w:r>
      <w:r w:rsidR="00174543" w:rsidRPr="00D41084">
        <w:t xml:space="preserve"> </w:t>
      </w:r>
      <w:r w:rsidRPr="00D41084">
        <w:t>ust. 3 lit. d oraz art. </w:t>
      </w:r>
      <w:r w:rsidR="00174543">
        <w:t>34</w:t>
      </w:r>
      <w:r w:rsidR="00174543" w:rsidRPr="00D41084">
        <w:t xml:space="preserve"> </w:t>
      </w:r>
      <w:r w:rsidRPr="00D41084">
        <w:t>ust. 1 lit. b rozporządzenia CPR</w:t>
      </w:r>
      <w:r w:rsidRPr="00D41084">
        <w:rPr>
          <w:rFonts w:eastAsia="Times New Roman"/>
          <w:szCs w:val="24"/>
        </w:rPr>
        <w:t>.</w:t>
      </w:r>
    </w:p>
    <w:p w14:paraId="46E1C8BA" w14:textId="5E82E022" w:rsidR="002417C9" w:rsidRPr="00D41084" w:rsidRDefault="002417C9" w:rsidP="002417C9">
      <w:pPr>
        <w:widowControl/>
        <w:suppressAutoHyphens/>
        <w:autoSpaceDE/>
        <w:autoSpaceDN/>
        <w:adjustRightInd/>
        <w:spacing w:before="120"/>
        <w:jc w:val="both"/>
        <w:rPr>
          <w:rFonts w:eastAsia="Times New Roman"/>
          <w:szCs w:val="24"/>
        </w:rPr>
      </w:pPr>
      <w:r w:rsidRPr="00D41084">
        <w:rPr>
          <w:rFonts w:eastAsia="Times New Roman"/>
          <w:szCs w:val="24"/>
        </w:rPr>
        <w:t xml:space="preserve">Mając z kolei na uwadze rozwiązania, które okazały się bardzo praktyczne w trakcie trwania pandemii wywołanej przez SARS-CoV-2 w 2020 roku, proponuje się wprowadzenie nowego art. 4a w ustawie o RLKS umożliwiającego wykorzystanie środków komunikacji elektronicznej, co znalazło odzwierciedlenie w art. </w:t>
      </w:r>
      <w:r w:rsidR="00BC551A">
        <w:rPr>
          <w:rFonts w:eastAsia="Times New Roman"/>
          <w:szCs w:val="24"/>
        </w:rPr>
        <w:t>4</w:t>
      </w:r>
      <w:r w:rsidR="00BC551A" w:rsidRPr="00D41084">
        <w:rPr>
          <w:rFonts w:eastAsia="Times New Roman"/>
          <w:szCs w:val="24"/>
        </w:rPr>
        <w:t xml:space="preserve"> </w:t>
      </w:r>
      <w:r w:rsidRPr="00D41084">
        <w:rPr>
          <w:rFonts w:eastAsia="Times New Roman"/>
          <w:szCs w:val="24"/>
        </w:rPr>
        <w:t>pkt 6 projektowanej ustawy. Rozwiązania te podczas pandemii pozwoliły bowiem na zwiększenie efektywności prac przez zmniejszenie kosztów organizacji posiedzeń organów stowarzyszeń przy jednoczesnym sprawnym funkcjonowaniu w warunkach obostrzeń sanitarnych. Aktualnie obowiązujące przepisy ustawy z dnia 7 kwietnia 1989 r. – Prawo o stowarzyszeniach (Dz. U. z 2020 r. poz. 2261), przewidują jednak możliwość wykorzystania środków komunikacji elektronicznej w głosowaniach na oraz poza posiedzeniami władz stowarzyszenia, zgodnie z art. 10 ust. 1e ustawy z dnia 5 grudnia 2008 r. o zapobieganiu oraz zwalczaniu zakażeń i chorób zakaźnych u ludzi (Dz. U. z 2020 r. poz. 1845</w:t>
      </w:r>
      <w:r w:rsidR="00961451">
        <w:rPr>
          <w:rFonts w:eastAsia="Times New Roman"/>
          <w:szCs w:val="24"/>
        </w:rPr>
        <w:t>, z późn. zm.</w:t>
      </w:r>
      <w:r w:rsidRPr="00D41084">
        <w:rPr>
          <w:rFonts w:eastAsia="Times New Roman"/>
          <w:szCs w:val="24"/>
        </w:rPr>
        <w:t xml:space="preserve">) tylko w przypadku wprowadzenia stanu zagrożenia epidemicznego lub stanu epidemii. Natomiast doświadczenia zdobyte w ostatnich miesiącach potwierdzają wieloaspektowe korzyści płynące z zastosowania środków komunikacji elektronicznej na szerszą skalę, co stanowi najlepszą rekomendację na przyszłość. Potwierdzeniem poprawności tego toku myślenia są również rozwiązania wdrożone w sposób ustawiczny w art. 300 </w:t>
      </w:r>
      <w:r w:rsidRPr="00D41084">
        <w:rPr>
          <w:rFonts w:eastAsia="Times New Roman"/>
          <w:szCs w:val="24"/>
        </w:rPr>
        <w:lastRenderedPageBreak/>
        <w:t>z</w:t>
      </w:r>
      <w:r w:rsidR="00306E7D">
        <w:rPr>
          <w:rFonts w:eastAsia="Times New Roman"/>
          <w:szCs w:val="24"/>
        </w:rPr>
        <w:t> </w:t>
      </w:r>
      <w:r w:rsidRPr="00D41084">
        <w:rPr>
          <w:rFonts w:eastAsia="Times New Roman"/>
          <w:szCs w:val="24"/>
        </w:rPr>
        <w:t xml:space="preserve"> indeksem 58 ustawy z dnia 15 września 2000 r. – Kodeks spółek handlowych (Dz. U. z 2020 r. poz. 1526 i 2320). Biorąc zatem pod uwagę ograniczony czas stosowania wdrożonych rozwiązań, a także korzyści LGD płynące z możliwości ich zastosowania oraz ewentualne zmiany proceduralne w funkcjonowaniu LGD po odwołaniu stanu zagrożenia epidemicznego lub stanu epidemii, mogące niekorzystnie wpłynąć na efektywność pracy LGD, a także postęp technologiczny i postulowaną przez UE transformację cyfrową, należy dążyć do zapewnienia LGD możliwości dalszego korzystania z tych udogodnień.</w:t>
      </w:r>
    </w:p>
    <w:p w14:paraId="5EDE6FCB" w14:textId="5DDD5496" w:rsidR="002417C9" w:rsidRPr="00D41084" w:rsidRDefault="002417C9" w:rsidP="002417C9">
      <w:pPr>
        <w:widowControl/>
        <w:suppressAutoHyphens/>
        <w:autoSpaceDE/>
        <w:autoSpaceDN/>
        <w:adjustRightInd/>
        <w:spacing w:before="120"/>
        <w:jc w:val="both"/>
        <w:rPr>
          <w:rFonts w:eastAsia="Times New Roman"/>
          <w:szCs w:val="24"/>
        </w:rPr>
      </w:pPr>
      <w:r w:rsidRPr="00D41084">
        <w:rPr>
          <w:rFonts w:eastAsia="Times New Roman"/>
          <w:szCs w:val="24"/>
        </w:rPr>
        <w:t>Mając natomiast na celu zapewnienie możliwości działania bez zakłóceń komisji, w</w:t>
      </w:r>
      <w:r w:rsidR="00961451">
        <w:rPr>
          <w:rFonts w:eastAsia="Times New Roman"/>
          <w:szCs w:val="24"/>
        </w:rPr>
        <w:t> </w:t>
      </w:r>
      <w:r w:rsidRPr="00D41084">
        <w:rPr>
          <w:rFonts w:eastAsia="Times New Roman"/>
          <w:szCs w:val="24"/>
        </w:rPr>
        <w:t xml:space="preserve"> szczególności w sytuacji nadzwyczajnych wydarzeń, które mogą wpływać na ich wewnętrzną organizację albo generujących wysokie koszty bieżące, projektowane rozwiązania wprowadzają obowiązek doprecyzowania zasad jej funkcjonowania, przy wykorzystaniu środków bezpośredniego porozumiewania się na odległość. Poszukiwanie oszczędności to</w:t>
      </w:r>
      <w:r w:rsidR="00961451">
        <w:rPr>
          <w:rFonts w:eastAsia="Times New Roman"/>
          <w:szCs w:val="24"/>
        </w:rPr>
        <w:t> </w:t>
      </w:r>
      <w:r w:rsidRPr="00D41084">
        <w:rPr>
          <w:rFonts w:eastAsia="Times New Roman"/>
          <w:szCs w:val="24"/>
        </w:rPr>
        <w:t xml:space="preserve"> oczywiście następstwo działań podejmowanych podczas epidemii. Jednak ich wartością dodaną okazuje się możliwość wykorzystania nowych technologii nie tylko w kryzysie, ale</w:t>
      </w:r>
      <w:r w:rsidR="00C704D8">
        <w:rPr>
          <w:rFonts w:eastAsia="Times New Roman"/>
          <w:szCs w:val="24"/>
        </w:rPr>
        <w:t> </w:t>
      </w:r>
      <w:r w:rsidRPr="00D41084">
        <w:rPr>
          <w:rFonts w:eastAsia="Times New Roman"/>
          <w:szCs w:val="24"/>
        </w:rPr>
        <w:t xml:space="preserve"> w</w:t>
      </w:r>
      <w:r w:rsidR="00961451">
        <w:t> </w:t>
      </w:r>
      <w:r w:rsidRPr="00D41084">
        <w:rPr>
          <w:rFonts w:eastAsia="Times New Roman"/>
          <w:szCs w:val="24"/>
        </w:rPr>
        <w:t xml:space="preserve"> zakresie usprawnienia zarządzania i procesu decyzyjnego na co dzień. Szczególnie jest to zasadne w kontekście postępu technologicznego i postulowanej przez UE transformacji cyfrowej. Projektowane rozwiązania polegają na uregulowaniu możliwości odbywania posiedzeń komisji i usprawnienia komunikacji pomiędzy jej członkami z wykorzystaniem nowych technologii, tj. użycia środków komunikacji elektronicznej w szczególności w trybie telekonferencji albo wideokonferencji oraz podpisów elektronicznych. Projektowane w art. </w:t>
      </w:r>
      <w:r w:rsidR="00BC551A">
        <w:rPr>
          <w:rFonts w:eastAsia="Times New Roman"/>
          <w:szCs w:val="24"/>
        </w:rPr>
        <w:t>4</w:t>
      </w:r>
      <w:r w:rsidRPr="00D41084">
        <w:rPr>
          <w:rFonts w:eastAsia="Times New Roman"/>
          <w:szCs w:val="24"/>
        </w:rPr>
        <w:t xml:space="preserve"> pkt 6 przedmiotowej ustawy zmiany wprowadzające nowy art. 4a w ustawie o RLKS, mają na celu wyeliminowanie ewentualnych wątpliwości i potwierdzenie, że odbywanie posiedzeń zarówno komisji jak i poszczególnych organów LGD przy użyciu środków bezpośredniego porozumiewania się na odległość, nie narusza obowiązków określonych w przepisach o</w:t>
      </w:r>
      <w:r w:rsidR="00961451">
        <w:rPr>
          <w:rFonts w:eastAsia="Times New Roman"/>
          <w:szCs w:val="24"/>
        </w:rPr>
        <w:t> </w:t>
      </w:r>
      <w:r w:rsidRPr="00D41084">
        <w:rPr>
          <w:rFonts w:eastAsia="Times New Roman"/>
          <w:szCs w:val="24"/>
        </w:rPr>
        <w:t xml:space="preserve"> wyborze LSR oraz pozytywnie wpływa na rozwój cyfryzacji nie tylko na poziomie lokalnym, ale także regionalnym i krajowym.</w:t>
      </w:r>
    </w:p>
    <w:p w14:paraId="1673B1FD" w14:textId="0F02EF56" w:rsidR="002417C9" w:rsidRPr="00D41084" w:rsidRDefault="002417C9" w:rsidP="002417C9">
      <w:pPr>
        <w:widowControl/>
        <w:suppressAutoHyphens/>
        <w:autoSpaceDE/>
        <w:autoSpaceDN/>
        <w:adjustRightInd/>
        <w:spacing w:before="120"/>
        <w:jc w:val="both"/>
        <w:rPr>
          <w:rFonts w:eastAsia="Times New Roman"/>
          <w:szCs w:val="24"/>
        </w:rPr>
      </w:pPr>
      <w:r w:rsidRPr="00D41084">
        <w:rPr>
          <w:rFonts w:eastAsia="Times New Roman"/>
          <w:szCs w:val="24"/>
        </w:rPr>
        <w:t xml:space="preserve">W art. </w:t>
      </w:r>
      <w:r w:rsidR="00BC551A">
        <w:rPr>
          <w:rFonts w:eastAsia="Times New Roman"/>
          <w:szCs w:val="24"/>
        </w:rPr>
        <w:t>4</w:t>
      </w:r>
      <w:r w:rsidRPr="00D41084">
        <w:rPr>
          <w:rFonts w:eastAsia="Times New Roman"/>
          <w:szCs w:val="24"/>
        </w:rPr>
        <w:t xml:space="preserve"> pkt 7 projektowanej ustawy zaproponowano natomiast nowe brzmienie art. 5 ust. 3 ustawy o RLKS odnoszącego się do kryteriów wyboru LSR i </w:t>
      </w:r>
      <w:r w:rsidRPr="00D41084">
        <w:rPr>
          <w:bCs/>
          <w:lang w:eastAsia="en-US" w:bidi="en-US"/>
        </w:rPr>
        <w:t>wysokości</w:t>
      </w:r>
      <w:r w:rsidRPr="00D41084">
        <w:t xml:space="preserve"> dostępnych środków </w:t>
      </w:r>
      <w:r w:rsidRPr="00D41084">
        <w:rPr>
          <w:lang w:eastAsia="en-US" w:bidi="en-US"/>
        </w:rPr>
        <w:t xml:space="preserve">przeznaczonych na </w:t>
      </w:r>
      <w:r w:rsidRPr="00D41084">
        <w:t xml:space="preserve">realizację </w:t>
      </w:r>
      <w:r w:rsidRPr="00D41084">
        <w:rPr>
          <w:lang w:eastAsia="en-US" w:bidi="en-US"/>
        </w:rPr>
        <w:t>LSR</w:t>
      </w:r>
      <w:r w:rsidRPr="00D41084">
        <w:rPr>
          <w:rFonts w:eastAsia="Times New Roman"/>
          <w:szCs w:val="24"/>
        </w:rPr>
        <w:t xml:space="preserve">. Zaproponowane zmiany zasad wyboru LSR opierają się również na doświadczeniach zdobytych w ramach wyboru LSR przeprowadzonego w roku 2016. Szczegółowe regulacje te będą uwzględnione w regulaminie konkursu po zakończeniu prac nad tym zagadnieniem. W niniejszym projekcie ustawy zaproponowano natomiast </w:t>
      </w:r>
      <w:r w:rsidRPr="00D41084">
        <w:rPr>
          <w:rFonts w:eastAsia="Times New Roman"/>
          <w:szCs w:val="24"/>
        </w:rPr>
        <w:lastRenderedPageBreak/>
        <w:t xml:space="preserve">wyodrębnienie warunków dostępu i kryteriów wyboru LSR, wprowadzając dodatkowo przedsądową procedurę odwoławczą. </w:t>
      </w:r>
    </w:p>
    <w:p w14:paraId="6F7FF852" w14:textId="77777777" w:rsidR="002417C9" w:rsidRPr="00D41084" w:rsidRDefault="002417C9" w:rsidP="002417C9">
      <w:pPr>
        <w:suppressAutoHyphens/>
        <w:spacing w:before="120"/>
        <w:jc w:val="both"/>
        <w:rPr>
          <w:rFonts w:eastAsia="Times New Roman"/>
          <w:szCs w:val="24"/>
        </w:rPr>
      </w:pPr>
      <w:r w:rsidRPr="00D41084">
        <w:rPr>
          <w:rFonts w:eastAsia="Times New Roman"/>
          <w:szCs w:val="24"/>
        </w:rPr>
        <w:t xml:space="preserve">Mając powyższe na uwadze określono, iż członkowie komisji w pierwszym etapie dokonają weryfikacji warunków dostępu (nowy art. 5 ust. 3 pkt 2 lit. a ustawy o RLKS), w zakresie wymagań ustawowych dotyczących tworzenia i funkcjonowania LGD oraz w zakresie spójności przestrzennej i liczby mieszkańców objętych LSR, a także w kontekście wymagań wynikających z art. </w:t>
      </w:r>
      <w:r w:rsidR="00174543">
        <w:rPr>
          <w:rFonts w:eastAsia="Times New Roman"/>
          <w:szCs w:val="24"/>
        </w:rPr>
        <w:t>31</w:t>
      </w:r>
      <w:r w:rsidR="00174543" w:rsidRPr="00D41084">
        <w:rPr>
          <w:rFonts w:eastAsia="Times New Roman"/>
          <w:szCs w:val="24"/>
        </w:rPr>
        <w:t xml:space="preserve"> </w:t>
      </w:r>
      <w:r w:rsidRPr="00D41084">
        <w:rPr>
          <w:rFonts w:eastAsia="Times New Roman"/>
          <w:szCs w:val="24"/>
        </w:rPr>
        <w:t xml:space="preserve">ust. 2 i art. </w:t>
      </w:r>
      <w:r w:rsidR="00174543">
        <w:rPr>
          <w:rFonts w:eastAsia="Times New Roman"/>
          <w:szCs w:val="24"/>
        </w:rPr>
        <w:t>32</w:t>
      </w:r>
      <w:r w:rsidR="00174543" w:rsidRPr="00D41084">
        <w:rPr>
          <w:rFonts w:eastAsia="Times New Roman"/>
          <w:szCs w:val="24"/>
        </w:rPr>
        <w:t xml:space="preserve"> </w:t>
      </w:r>
      <w:r w:rsidRPr="00D41084">
        <w:rPr>
          <w:rFonts w:eastAsia="Times New Roman"/>
          <w:szCs w:val="24"/>
        </w:rPr>
        <w:t>ust. 1 rozporządzenia CPR dotyczących:</w:t>
      </w:r>
    </w:p>
    <w:p w14:paraId="1B665196" w14:textId="77777777" w:rsidR="002417C9" w:rsidRPr="00D41084" w:rsidRDefault="002417C9" w:rsidP="002417C9">
      <w:pPr>
        <w:pStyle w:val="Akapitzlist"/>
        <w:numPr>
          <w:ilvl w:val="0"/>
          <w:numId w:val="12"/>
        </w:numPr>
        <w:suppressAutoHyphens/>
        <w:ind w:left="357" w:hanging="357"/>
        <w:jc w:val="both"/>
        <w:rPr>
          <w:rFonts w:eastAsia="Times New Roman"/>
          <w:szCs w:val="24"/>
        </w:rPr>
      </w:pPr>
      <w:r w:rsidRPr="00D41084">
        <w:rPr>
          <w:rFonts w:eastAsia="Times New Roman"/>
          <w:szCs w:val="24"/>
        </w:rPr>
        <w:t>obszaru geograficznego i populacji, których dotyczy dana LSR,</w:t>
      </w:r>
    </w:p>
    <w:p w14:paraId="3F549B45" w14:textId="77777777" w:rsidR="002417C9" w:rsidRPr="00D41084" w:rsidRDefault="002417C9" w:rsidP="002417C9">
      <w:pPr>
        <w:pStyle w:val="Akapitzlist"/>
        <w:numPr>
          <w:ilvl w:val="0"/>
          <w:numId w:val="12"/>
        </w:numPr>
        <w:suppressAutoHyphens/>
        <w:spacing w:before="120"/>
        <w:jc w:val="both"/>
        <w:rPr>
          <w:rFonts w:eastAsia="Times New Roman"/>
          <w:szCs w:val="24"/>
        </w:rPr>
      </w:pPr>
      <w:r w:rsidRPr="00D41084">
        <w:rPr>
          <w:rFonts w:eastAsia="Times New Roman"/>
          <w:szCs w:val="24"/>
        </w:rPr>
        <w:t>procesu zaangażowania społeczności w opracowywanie LSR,</w:t>
      </w:r>
    </w:p>
    <w:p w14:paraId="2BD56D40" w14:textId="77777777" w:rsidR="002417C9" w:rsidRPr="00D41084" w:rsidRDefault="002417C9" w:rsidP="002417C9">
      <w:pPr>
        <w:pStyle w:val="Akapitzlist"/>
        <w:numPr>
          <w:ilvl w:val="0"/>
          <w:numId w:val="12"/>
        </w:numPr>
        <w:suppressAutoHyphens/>
        <w:spacing w:before="120"/>
        <w:jc w:val="both"/>
        <w:rPr>
          <w:rFonts w:eastAsia="Times New Roman"/>
          <w:szCs w:val="24"/>
        </w:rPr>
      </w:pPr>
      <w:r w:rsidRPr="00D41084">
        <w:rPr>
          <w:rFonts w:eastAsia="Times New Roman"/>
          <w:szCs w:val="24"/>
        </w:rPr>
        <w:t>analizy potrzeb rozwojowych i potencjału danego obszaru,</w:t>
      </w:r>
    </w:p>
    <w:p w14:paraId="35CCF928" w14:textId="77777777" w:rsidR="002417C9" w:rsidRPr="00D41084" w:rsidRDefault="002417C9" w:rsidP="002417C9">
      <w:pPr>
        <w:pStyle w:val="Akapitzlist"/>
        <w:numPr>
          <w:ilvl w:val="0"/>
          <w:numId w:val="12"/>
        </w:numPr>
        <w:suppressAutoHyphens/>
        <w:spacing w:before="120"/>
        <w:jc w:val="both"/>
        <w:rPr>
          <w:rFonts w:eastAsia="Times New Roman"/>
          <w:szCs w:val="24"/>
        </w:rPr>
      </w:pPr>
      <w:r w:rsidRPr="00D41084">
        <w:rPr>
          <w:rFonts w:eastAsia="Times New Roman"/>
          <w:szCs w:val="24"/>
        </w:rPr>
        <w:t>celów LSR, w tym wymiernych celów końcowych dotyczących rezultatów oraz odnośne planowane działania dla każdego EFSI, którego to dotyczy,</w:t>
      </w:r>
    </w:p>
    <w:p w14:paraId="137F4342" w14:textId="77777777" w:rsidR="002417C9" w:rsidRPr="00D41084" w:rsidRDefault="002417C9" w:rsidP="002417C9">
      <w:pPr>
        <w:pStyle w:val="Akapitzlist"/>
        <w:numPr>
          <w:ilvl w:val="0"/>
          <w:numId w:val="12"/>
        </w:numPr>
        <w:suppressAutoHyphens/>
        <w:spacing w:before="120"/>
        <w:jc w:val="both"/>
        <w:rPr>
          <w:rFonts w:eastAsia="Times New Roman"/>
          <w:szCs w:val="24"/>
        </w:rPr>
      </w:pPr>
      <w:r w:rsidRPr="00D41084">
        <w:rPr>
          <w:rFonts w:eastAsia="Times New Roman"/>
          <w:szCs w:val="24"/>
        </w:rPr>
        <w:t>planu finansowego, w tym planowanej alokacji z każdego odnośnego EFSI, w tym w</w:t>
      </w:r>
      <w:r w:rsidR="00961451">
        <w:rPr>
          <w:rFonts w:eastAsia="Times New Roman"/>
          <w:szCs w:val="24"/>
        </w:rPr>
        <w:t> </w:t>
      </w:r>
      <w:r w:rsidRPr="00D41084">
        <w:rPr>
          <w:rFonts w:eastAsia="Times New Roman"/>
          <w:szCs w:val="24"/>
        </w:rPr>
        <w:t xml:space="preserve"> stosownych przypadkach, z EFRROW, oraz z każdego odnośnego programu,</w:t>
      </w:r>
    </w:p>
    <w:p w14:paraId="1443F8A5" w14:textId="77777777" w:rsidR="002417C9" w:rsidRPr="00D41084" w:rsidRDefault="002417C9" w:rsidP="002417C9">
      <w:pPr>
        <w:pStyle w:val="Akapitzlist"/>
        <w:numPr>
          <w:ilvl w:val="0"/>
          <w:numId w:val="12"/>
        </w:numPr>
        <w:suppressAutoHyphens/>
        <w:spacing w:before="120"/>
        <w:jc w:val="both"/>
        <w:rPr>
          <w:rFonts w:eastAsia="Times New Roman"/>
          <w:szCs w:val="24"/>
        </w:rPr>
      </w:pPr>
      <w:r w:rsidRPr="00D41084">
        <w:rPr>
          <w:rFonts w:eastAsia="Times New Roman"/>
          <w:szCs w:val="24"/>
        </w:rPr>
        <w:t>zasad funkcjonowania LGD w zakresie zarządzania, monitorowania i oceny, pokazujących potencjał LGD do realizacji takiej LSR,</w:t>
      </w:r>
    </w:p>
    <w:p w14:paraId="0EA6983A" w14:textId="77777777" w:rsidR="002417C9" w:rsidRPr="00D41084" w:rsidRDefault="002417C9" w:rsidP="002417C9">
      <w:pPr>
        <w:pStyle w:val="Akapitzlist"/>
        <w:numPr>
          <w:ilvl w:val="0"/>
          <w:numId w:val="12"/>
        </w:numPr>
        <w:suppressAutoHyphens/>
        <w:spacing w:before="120"/>
        <w:jc w:val="both"/>
        <w:rPr>
          <w:rFonts w:eastAsia="Times New Roman"/>
          <w:szCs w:val="24"/>
        </w:rPr>
      </w:pPr>
      <w:r w:rsidRPr="00D41084">
        <w:rPr>
          <w:rFonts w:eastAsia="Times New Roman"/>
          <w:szCs w:val="24"/>
        </w:rPr>
        <w:t>sektora publicznego, społecznego i gospodarczego, w których to grupach żadna pojedyncza grupa interesu nie kontroluje procesu podejmowania decyzji.</w:t>
      </w:r>
    </w:p>
    <w:p w14:paraId="282AAB15" w14:textId="7EA47ED8" w:rsidR="002417C9" w:rsidRPr="00D41084" w:rsidRDefault="002417C9" w:rsidP="002417C9">
      <w:pPr>
        <w:suppressAutoHyphens/>
        <w:spacing w:before="120"/>
        <w:jc w:val="both"/>
        <w:rPr>
          <w:rFonts w:eastAsia="Times New Roman"/>
          <w:szCs w:val="24"/>
        </w:rPr>
      </w:pPr>
      <w:r w:rsidRPr="00D41084">
        <w:rPr>
          <w:rFonts w:eastAsia="Times New Roman"/>
          <w:szCs w:val="24"/>
        </w:rPr>
        <w:t>Jeżeli nie są spełnione ww. warunki dostępu, zarząd województwa poinformuje LGD o</w:t>
      </w:r>
      <w:r w:rsidR="00961451">
        <w:rPr>
          <w:rFonts w:eastAsia="Times New Roman"/>
          <w:szCs w:val="24"/>
        </w:rPr>
        <w:t> </w:t>
      </w:r>
      <w:r w:rsidRPr="00D41084">
        <w:rPr>
          <w:rFonts w:eastAsia="Times New Roman"/>
          <w:szCs w:val="24"/>
        </w:rPr>
        <w:t xml:space="preserve"> odrzuceniu LSR z podaniem przyczyn odrzucenia LSR oraz pouczeniem o możliwości wniesienia do komisji sprzeciwu od wyniku oceny warunków dostępu, zgodnie z art. </w:t>
      </w:r>
      <w:r w:rsidR="00BC551A">
        <w:rPr>
          <w:rFonts w:eastAsia="Times New Roman"/>
          <w:szCs w:val="24"/>
        </w:rPr>
        <w:t>4</w:t>
      </w:r>
      <w:r w:rsidRPr="00D41084">
        <w:rPr>
          <w:rFonts w:eastAsia="Times New Roman"/>
          <w:szCs w:val="24"/>
        </w:rPr>
        <w:t xml:space="preserve"> pkt 11 lit. a, b i c projektowanej ustawy – zmieniającym art. 10 ust. 4–6 oraz dodaniem ustępów 5a–5d i 7 w ustawie o RLKS. Sprzeciw może zostać wniesiony do komisji w formie pisemnej lub </w:t>
      </w:r>
      <w:r w:rsidRPr="00D41084">
        <w:t>elektronicznej opatrzonej kwalifikowanym podpisem elektronicznym, podpisem zaufanym albo podpisem osobistym</w:t>
      </w:r>
      <w:r w:rsidRPr="00D41084">
        <w:rPr>
          <w:rFonts w:eastAsia="Times New Roman"/>
          <w:szCs w:val="24"/>
        </w:rPr>
        <w:t>, za pośrednictwem właściwego zarządu województwa w terminie 7</w:t>
      </w:r>
      <w:r w:rsidR="00961451">
        <w:rPr>
          <w:rFonts w:eastAsia="Times New Roman"/>
          <w:szCs w:val="24"/>
        </w:rPr>
        <w:t> </w:t>
      </w:r>
      <w:r w:rsidRPr="00D41084">
        <w:rPr>
          <w:rFonts w:eastAsia="Times New Roman"/>
          <w:szCs w:val="24"/>
        </w:rPr>
        <w:t xml:space="preserve"> dni, od dnia otrzymania informacji o odrzuceniu LSR, a komisja rozpatruje go w terminie 10 dni od dnia jego wniesienia. Jednym z elementów niezbędnych, które sprzeciw do komisji musi zawierać jest wskazanie warunków dostępu, z których oceną LGD się nie zgadza, wraz z</w:t>
      </w:r>
      <w:r w:rsidR="00961451">
        <w:rPr>
          <w:rFonts w:eastAsia="Times New Roman"/>
          <w:szCs w:val="24"/>
        </w:rPr>
        <w:t> </w:t>
      </w:r>
      <w:r w:rsidRPr="00D41084">
        <w:rPr>
          <w:rFonts w:eastAsia="Times New Roman"/>
          <w:szCs w:val="24"/>
        </w:rPr>
        <w:t xml:space="preserve"> uzasadnieniem. W przypadku, gdy sprzeciw:</w:t>
      </w:r>
    </w:p>
    <w:p w14:paraId="07F21F72" w14:textId="77777777" w:rsidR="002417C9" w:rsidRPr="00D41084" w:rsidRDefault="002417C9" w:rsidP="002417C9">
      <w:pPr>
        <w:pStyle w:val="Akapitzlist"/>
        <w:numPr>
          <w:ilvl w:val="0"/>
          <w:numId w:val="13"/>
        </w:numPr>
        <w:suppressAutoHyphens/>
        <w:ind w:left="357" w:hanging="357"/>
        <w:jc w:val="both"/>
        <w:rPr>
          <w:rFonts w:eastAsia="Times New Roman"/>
          <w:szCs w:val="24"/>
        </w:rPr>
      </w:pPr>
      <w:r w:rsidRPr="00D41084">
        <w:rPr>
          <w:rFonts w:eastAsia="Times New Roman"/>
          <w:szCs w:val="24"/>
        </w:rPr>
        <w:t xml:space="preserve">nie spełnia warunków, o których mowa w nowym ust. 5a ustawy o RLKS, </w:t>
      </w:r>
      <w:r w:rsidRPr="00D41084">
        <w:t>albo został wniesiony po terminie,</w:t>
      </w:r>
      <w:r w:rsidRPr="00D41084">
        <w:rPr>
          <w:rFonts w:eastAsia="Times New Roman"/>
          <w:szCs w:val="24"/>
        </w:rPr>
        <w:t xml:space="preserve"> komisja pozostawia go bez rozpatrzenia;</w:t>
      </w:r>
    </w:p>
    <w:p w14:paraId="6EAD1195" w14:textId="77777777" w:rsidR="002417C9" w:rsidRPr="00D41084" w:rsidRDefault="002417C9" w:rsidP="002417C9">
      <w:pPr>
        <w:pStyle w:val="Akapitzlist"/>
        <w:numPr>
          <w:ilvl w:val="0"/>
          <w:numId w:val="13"/>
        </w:numPr>
        <w:suppressAutoHyphens/>
        <w:spacing w:before="120"/>
        <w:jc w:val="both"/>
        <w:rPr>
          <w:rFonts w:eastAsia="Times New Roman"/>
          <w:szCs w:val="24"/>
        </w:rPr>
      </w:pPr>
      <w:r w:rsidRPr="00D41084">
        <w:rPr>
          <w:rFonts w:eastAsia="Times New Roman"/>
          <w:szCs w:val="24"/>
        </w:rPr>
        <w:t xml:space="preserve">nie został przez komisję uwzględniony </w:t>
      </w:r>
      <w:r w:rsidRPr="00D41084">
        <w:rPr>
          <w:rFonts w:eastAsia="Times New Roman"/>
          <w:szCs w:val="24"/>
          <w:lang w:bidi="pl-PL"/>
        </w:rPr>
        <w:t>–</w:t>
      </w:r>
      <w:r w:rsidRPr="00D41084">
        <w:rPr>
          <w:rFonts w:eastAsia="Times New Roman"/>
          <w:szCs w:val="24"/>
        </w:rPr>
        <w:t xml:space="preserve"> LGD przysługuje </w:t>
      </w:r>
      <w:r w:rsidRPr="00D41084">
        <w:rPr>
          <w:rFonts w:eastAsia="Times New Roman"/>
          <w:szCs w:val="24"/>
          <w:lang w:bidi="pl-PL"/>
        </w:rPr>
        <w:t xml:space="preserve">prawo wniesienia skargi na zasadach i w trybie określonych dla aktów lub czynności, o których mowa w art. 3 § 2 pkt </w:t>
      </w:r>
      <w:r w:rsidRPr="00D41084">
        <w:rPr>
          <w:rFonts w:eastAsia="Times New Roman"/>
          <w:szCs w:val="24"/>
          <w:lang w:bidi="pl-PL"/>
        </w:rPr>
        <w:lastRenderedPageBreak/>
        <w:t>4 ustawy z dnia 30 sierpnia 2002 r. – Prawo o postępowaniu przed sądami administracyjnymi</w:t>
      </w:r>
      <w:r w:rsidRPr="00D41084">
        <w:rPr>
          <w:rFonts w:eastAsia="Times New Roman"/>
          <w:szCs w:val="24"/>
        </w:rPr>
        <w:t xml:space="preserve">, </w:t>
      </w:r>
    </w:p>
    <w:p w14:paraId="008871AD" w14:textId="77777777" w:rsidR="002417C9" w:rsidRPr="00D41084" w:rsidRDefault="002417C9" w:rsidP="002417C9">
      <w:pPr>
        <w:pStyle w:val="Akapitzlist"/>
        <w:numPr>
          <w:ilvl w:val="0"/>
          <w:numId w:val="13"/>
        </w:numPr>
        <w:suppressAutoHyphens/>
        <w:spacing w:before="120"/>
        <w:jc w:val="both"/>
        <w:rPr>
          <w:rFonts w:eastAsia="Times New Roman"/>
          <w:szCs w:val="24"/>
        </w:rPr>
      </w:pPr>
      <w:r w:rsidRPr="00D41084">
        <w:rPr>
          <w:rFonts w:eastAsia="Times New Roman"/>
          <w:szCs w:val="24"/>
        </w:rPr>
        <w:t>został uwzględniony, komisja stwierdza spełnienie warunków dostępu.</w:t>
      </w:r>
    </w:p>
    <w:p w14:paraId="0D7DA6BC" w14:textId="77777777" w:rsidR="002417C9" w:rsidRPr="00D41084" w:rsidRDefault="002417C9" w:rsidP="002417C9">
      <w:pPr>
        <w:suppressAutoHyphens/>
        <w:spacing w:before="120"/>
        <w:jc w:val="both"/>
        <w:rPr>
          <w:rFonts w:eastAsia="Times New Roman"/>
          <w:szCs w:val="24"/>
        </w:rPr>
      </w:pPr>
      <w:r w:rsidRPr="00D41084">
        <w:rPr>
          <w:rFonts w:eastAsia="Times New Roman"/>
          <w:szCs w:val="24"/>
        </w:rPr>
        <w:t>Przy rozpatrywaniu tego sprzeciwu, nie mogą brać udziału członkowie komisji, którzy byli zaangażowani w ocenę spełnienia warunków dostępu LSR, której dotyczy sprzeciw.</w:t>
      </w:r>
    </w:p>
    <w:p w14:paraId="28722635" w14:textId="18D10B83" w:rsidR="002417C9" w:rsidRPr="00D41084" w:rsidRDefault="002417C9" w:rsidP="002417C9">
      <w:pPr>
        <w:suppressAutoHyphens/>
        <w:spacing w:before="120"/>
        <w:jc w:val="both"/>
        <w:rPr>
          <w:rFonts w:eastAsia="Times New Roman"/>
          <w:szCs w:val="24"/>
        </w:rPr>
      </w:pPr>
      <w:r w:rsidRPr="00D41084">
        <w:rPr>
          <w:rFonts w:eastAsia="Times New Roman"/>
          <w:szCs w:val="24"/>
        </w:rPr>
        <w:t xml:space="preserve">Jak stanowi art. </w:t>
      </w:r>
      <w:r w:rsidR="00BC551A">
        <w:rPr>
          <w:rFonts w:eastAsia="Times New Roman"/>
          <w:szCs w:val="24"/>
        </w:rPr>
        <w:t>4</w:t>
      </w:r>
      <w:r w:rsidRPr="00D41084">
        <w:rPr>
          <w:rFonts w:eastAsia="Times New Roman"/>
          <w:szCs w:val="24"/>
        </w:rPr>
        <w:t xml:space="preserve"> ust. 11 lit</w:t>
      </w:r>
      <w:r w:rsidR="00567D41">
        <w:rPr>
          <w:rFonts w:eastAsia="Times New Roman"/>
          <w:szCs w:val="24"/>
        </w:rPr>
        <w:t>.</w:t>
      </w:r>
      <w:r w:rsidRPr="00D41084">
        <w:rPr>
          <w:rFonts w:eastAsia="Times New Roman"/>
          <w:szCs w:val="24"/>
        </w:rPr>
        <w:t xml:space="preserve"> c projektowanej ustawy zmieniający art. 10 ust. 6 ustawy o RLKS, jeżeli są spełnione warunki dostępu LSR, LSR podlega ocenie pod względem spełnienia kryteriów wyboru LSR dokonywanej przez komisję, a następnie pod kątem spełnienia warunku, o którym mo</w:t>
      </w:r>
      <w:r w:rsidR="00961451">
        <w:rPr>
          <w:rFonts w:eastAsia="Times New Roman"/>
          <w:szCs w:val="24"/>
        </w:rPr>
        <w:t xml:space="preserve">wa art. </w:t>
      </w:r>
      <w:r w:rsidR="00BC551A">
        <w:rPr>
          <w:rFonts w:eastAsia="Times New Roman"/>
          <w:szCs w:val="24"/>
        </w:rPr>
        <w:t>4</w:t>
      </w:r>
      <w:r w:rsidR="00961451">
        <w:rPr>
          <w:rFonts w:eastAsia="Times New Roman"/>
          <w:szCs w:val="24"/>
        </w:rPr>
        <w:t xml:space="preserve"> pkt 7 lit. a tiret czwarte</w:t>
      </w:r>
      <w:r w:rsidRPr="00D41084">
        <w:rPr>
          <w:rFonts w:eastAsia="Times New Roman"/>
          <w:szCs w:val="24"/>
        </w:rPr>
        <w:t xml:space="preserve"> projektowanej ustawy wprowadzający nowy art. 5 ust. 1 pkt 4 ustawy o RLKS, tj. czy </w:t>
      </w:r>
      <w:r w:rsidRPr="00D41084">
        <w:t>obszar gmin objętych LSR nie jest objęty obszarem LSR innych LGD, których LSR została wybrana po dniu 1 stycznia 2021 r</w:t>
      </w:r>
      <w:r w:rsidRPr="00D41084">
        <w:rPr>
          <w:rFonts w:eastAsia="Times New Roman"/>
          <w:szCs w:val="24"/>
        </w:rPr>
        <w:t>. Wniesienie sprzeciwu przez którąkolwiek LGD nie wstrzymuje tej oceny dokonywanej w stosunku do pozostałych LSR.</w:t>
      </w:r>
    </w:p>
    <w:p w14:paraId="3E308F2A" w14:textId="26B36560" w:rsidR="002417C9" w:rsidRPr="00D41084" w:rsidRDefault="002417C9" w:rsidP="002417C9">
      <w:pPr>
        <w:suppressAutoHyphens/>
        <w:spacing w:before="120"/>
        <w:jc w:val="both"/>
        <w:rPr>
          <w:rFonts w:eastAsia="Times New Roman"/>
          <w:szCs w:val="24"/>
        </w:rPr>
      </w:pPr>
      <w:r w:rsidRPr="00D41084">
        <w:rPr>
          <w:rFonts w:eastAsia="Times New Roman"/>
          <w:szCs w:val="24"/>
        </w:rPr>
        <w:t xml:space="preserve">W celu zapewnienia jednolitości i obiektywności w ocenie kryteriów wyboru LSR, zostaną one określone i szczegółowo zdefiniowane w regulaminie wyboru LSR. Kryteria wyboru zostaną określone </w:t>
      </w:r>
      <w:r w:rsidR="00AB3107">
        <w:rPr>
          <w:rFonts w:eastAsia="Times New Roman"/>
          <w:szCs w:val="24"/>
        </w:rPr>
        <w:t xml:space="preserve">tak, aby uwzględnić specyfikę </w:t>
      </w:r>
      <w:r w:rsidRPr="00D41084">
        <w:rPr>
          <w:rFonts w:eastAsia="Times New Roman"/>
          <w:szCs w:val="24"/>
        </w:rPr>
        <w:t>każdego funduszu, którego udział jest przewidywany w ramach RLKS. W regulaminie zostaną także wskazane kryteria, które będą decydować o kolejności przysługiwania wsparcia na realizację LSR w ramach środków odpowiedniego funduszu (tzw. priorytet w przypadku uzyskania takiej samej łącznej liczby punktów przez dwie lub więcej LSR).</w:t>
      </w:r>
    </w:p>
    <w:p w14:paraId="67F12086" w14:textId="77777777" w:rsidR="002417C9" w:rsidRPr="00D41084" w:rsidRDefault="002417C9" w:rsidP="002417C9">
      <w:pPr>
        <w:suppressAutoHyphens/>
        <w:spacing w:before="120"/>
        <w:jc w:val="both"/>
        <w:rPr>
          <w:rFonts w:eastAsia="Times New Roman"/>
          <w:szCs w:val="24"/>
        </w:rPr>
      </w:pPr>
      <w:r w:rsidRPr="00D41084">
        <w:rPr>
          <w:rFonts w:eastAsia="Times New Roman"/>
          <w:szCs w:val="24"/>
        </w:rPr>
        <w:t>Należy bowiem zauważyć, że w przypadku EFRROW, w wyniku przesunięcia alokacji na lata 2021 i 2022 do PROW 2014–2020 oraz przesunięcia środków z II do I filara WPR, środki finansowe na wdrażanie podejścia LEADER/RLKS zostały ograniczone względem budżetu na to podejście w latach 2014–2020. Tym samym budżet EFRROW będzie musiał być zarządzany centralnie, a wybór nowych LSR musi być przeprowadzony w bardzo konkurencyjnych warunkach, z założeniem, iż dostępny limit środków może nie wystarczyć na sfinansowanie wszystkich zaprojektowanych LSR.</w:t>
      </w:r>
    </w:p>
    <w:p w14:paraId="2879AA2B" w14:textId="77777777" w:rsidR="002417C9" w:rsidRPr="00D41084" w:rsidRDefault="002417C9" w:rsidP="002417C9">
      <w:pPr>
        <w:suppressAutoHyphens/>
        <w:spacing w:before="120"/>
        <w:jc w:val="both"/>
        <w:rPr>
          <w:rFonts w:eastAsia="Times New Roman"/>
          <w:szCs w:val="24"/>
        </w:rPr>
      </w:pPr>
      <w:r w:rsidRPr="00D41084">
        <w:rPr>
          <w:rFonts w:eastAsia="Times New Roman"/>
          <w:szCs w:val="24"/>
        </w:rPr>
        <w:t>Mając powyższe na uwadze oraz ze względu na ryzyko dużej liczby odwołań składanych do</w:t>
      </w:r>
      <w:r w:rsidR="00A32B2F">
        <w:rPr>
          <w:rFonts w:eastAsia="Times New Roman"/>
          <w:szCs w:val="24"/>
        </w:rPr>
        <w:t> </w:t>
      </w:r>
      <w:r w:rsidRPr="00D41084">
        <w:rPr>
          <w:rFonts w:eastAsia="Times New Roman"/>
          <w:szCs w:val="24"/>
        </w:rPr>
        <w:t xml:space="preserve"> instytucji zarządzających po ocenie spełnienia kryteriów wyboru, korzystnym wydaje się zastosowanie przede wszystkim kryteriów mierzalnych (ok. 60% wagi) np. odwołujących się do oficjalnych opublikowanych danych statystycznych. W regulaminie zaproponowany zostanie szeroki katalog wskaźników, które w najbardziej efektywny sposób pozwolą </w:t>
      </w:r>
      <w:r w:rsidRPr="00D41084">
        <w:rPr>
          <w:rFonts w:eastAsia="Times New Roman"/>
          <w:szCs w:val="24"/>
        </w:rPr>
        <w:lastRenderedPageBreak/>
        <w:t>na</w:t>
      </w:r>
      <w:r w:rsidR="00A32B2F">
        <w:rPr>
          <w:rFonts w:eastAsia="Times New Roman"/>
          <w:szCs w:val="24"/>
        </w:rPr>
        <w:t> </w:t>
      </w:r>
      <w:r w:rsidRPr="00D41084">
        <w:rPr>
          <w:rFonts w:eastAsia="Times New Roman"/>
          <w:szCs w:val="24"/>
        </w:rPr>
        <w:t xml:space="preserve"> ukierunkowanie wsparcia na poszczególne obszary tematyczne. W zakresie wsparcia z</w:t>
      </w:r>
      <w:r w:rsidR="00A32B2F">
        <w:rPr>
          <w:rFonts w:eastAsia="Times New Roman"/>
          <w:szCs w:val="24"/>
        </w:rPr>
        <w:t> </w:t>
      </w:r>
      <w:r w:rsidRPr="00D41084">
        <w:rPr>
          <w:rFonts w:eastAsia="Times New Roman"/>
          <w:szCs w:val="24"/>
        </w:rPr>
        <w:t xml:space="preserve"> EFRROW brane będą pod uwagę: wskaźniki dot. rolnictwa oraz środowiska i klimatu (np.: </w:t>
      </w:r>
      <w:r>
        <w:rPr>
          <w:rFonts w:eastAsia="Times New Roman"/>
          <w:szCs w:val="24"/>
        </w:rPr>
        <w:t>udział</w:t>
      </w:r>
      <w:r w:rsidRPr="00D41084">
        <w:rPr>
          <w:rFonts w:eastAsia="Times New Roman"/>
          <w:szCs w:val="24"/>
        </w:rPr>
        <w:t xml:space="preserve"> użytków rolnych</w:t>
      </w:r>
      <w:r>
        <w:rPr>
          <w:rFonts w:eastAsia="Times New Roman"/>
          <w:szCs w:val="24"/>
        </w:rPr>
        <w:t xml:space="preserve"> w powierzchni gminy</w:t>
      </w:r>
      <w:r w:rsidRPr="00D41084">
        <w:rPr>
          <w:rFonts w:eastAsia="Times New Roman"/>
          <w:szCs w:val="24"/>
        </w:rPr>
        <w:t>, liczba gospodarstw rolnych, lesistość, odsetek obszarów Natura 2000 objętych planami zarządzania, powierzchnia parków, zieleńców i</w:t>
      </w:r>
      <w:r w:rsidR="00A32B2F">
        <w:rPr>
          <w:rFonts w:eastAsia="Times New Roman"/>
          <w:szCs w:val="24"/>
        </w:rPr>
        <w:t> </w:t>
      </w:r>
      <w:r w:rsidRPr="00D41084">
        <w:rPr>
          <w:rFonts w:eastAsia="Times New Roman"/>
          <w:szCs w:val="24"/>
        </w:rPr>
        <w:t xml:space="preserve"> terenów zieleni osiedlowej, liczba turystycznych obiektów noclegowych wg danych GUS lub z Centralnego Wykazu Obiektów Hotelarskich, liczba kwater agroturystycznych wg Gminnej Ewidencji Obiektów Turystycznych), wskaźniki demograficzne (np.: przyrost naturalny, gęstość zaludnienia, ludność w wieku nieprodukcyjnym na 100 osób w wieku produkcyjnym, saldo migracji gminnych na pobyt stały na 1000 osób), wskaźniki społeczne (np.: liczba beneficjentów środowiskowej pomocy społecznej na 10 tys. ludności, udział liczby (aktywnych) rejestrowych organizacji non-profit mających siedzibę na wsi w ogólnej liczbie tych organizacji, liczba bibliotek i filii, kół / klubów / sekcji; - liczba centrów, domów i</w:t>
      </w:r>
      <w:r w:rsidR="00A32B2F">
        <w:rPr>
          <w:rFonts w:eastAsia="Times New Roman"/>
          <w:szCs w:val="24"/>
        </w:rPr>
        <w:t> </w:t>
      </w:r>
      <w:r w:rsidRPr="00D41084">
        <w:rPr>
          <w:rFonts w:eastAsia="Times New Roman"/>
          <w:szCs w:val="24"/>
        </w:rPr>
        <w:t xml:space="preserve"> ośrodków kultury, liczba klubów i świetlic), wskaźniki gospodarcze (np.: liczba bezrobotnych, dochód podatkowy gminy, wskaźnik urbanizacji</w:t>
      </w:r>
      <w:r w:rsidRPr="00D41084">
        <w:rPr>
          <w:rFonts w:eastAsia="Times New Roman"/>
          <w:szCs w:val="24"/>
          <w:vertAlign w:val="superscript"/>
        </w:rPr>
        <w:footnoteReference w:id="1"/>
      </w:r>
      <w:r w:rsidRPr="00D41084">
        <w:rPr>
          <w:rFonts w:eastAsia="Times New Roman"/>
          <w:szCs w:val="24"/>
        </w:rPr>
        <w:t>).</w:t>
      </w:r>
    </w:p>
    <w:p w14:paraId="5E820644" w14:textId="77777777" w:rsidR="002417C9" w:rsidRPr="00D41084" w:rsidRDefault="002417C9" w:rsidP="002417C9">
      <w:pPr>
        <w:suppressAutoHyphens/>
        <w:spacing w:before="120"/>
        <w:jc w:val="both"/>
        <w:rPr>
          <w:rFonts w:eastAsia="Times New Roman"/>
          <w:szCs w:val="24"/>
        </w:rPr>
      </w:pPr>
      <w:r w:rsidRPr="00D41084">
        <w:rPr>
          <w:rFonts w:eastAsia="Times New Roman"/>
          <w:szCs w:val="24"/>
        </w:rPr>
        <w:t xml:space="preserve">Z uwagi na prawdopodobieństwo wystąpienia LSR na tych samym obszarach lub z taką samą liczbą punktów uzyskanych za kryteria wyboru oparte na danych statystycznych istnieje potrzeba zastosowania dodatkowych kryteriów różnicujących (niemierzalnych, ok 40% wagi) wynikających z wdrożenia podstawowych zasad LEADERa, takich jak np.: </w:t>
      </w:r>
    </w:p>
    <w:p w14:paraId="3D3745F4" w14:textId="77777777" w:rsidR="002417C9" w:rsidRPr="00D41084" w:rsidRDefault="002417C9" w:rsidP="002417C9">
      <w:pPr>
        <w:widowControl/>
        <w:numPr>
          <w:ilvl w:val="0"/>
          <w:numId w:val="5"/>
        </w:numPr>
        <w:suppressAutoHyphens/>
        <w:autoSpaceDE/>
        <w:autoSpaceDN/>
        <w:adjustRightInd/>
        <w:ind w:left="426" w:hanging="426"/>
        <w:jc w:val="both"/>
        <w:rPr>
          <w:rFonts w:eastAsia="Times New Roman"/>
          <w:szCs w:val="24"/>
        </w:rPr>
      </w:pPr>
      <w:r w:rsidRPr="00D41084">
        <w:rPr>
          <w:rFonts w:eastAsia="Times New Roman"/>
          <w:szCs w:val="24"/>
        </w:rPr>
        <w:t>zintegrowanie (łączenie różnych dziedzin gospodarki, współpraca różnych grup interesu, wielofunduszowość);</w:t>
      </w:r>
    </w:p>
    <w:p w14:paraId="0C838706" w14:textId="77777777" w:rsidR="002417C9" w:rsidRPr="00D41084" w:rsidRDefault="002417C9" w:rsidP="002417C9">
      <w:pPr>
        <w:widowControl/>
        <w:numPr>
          <w:ilvl w:val="0"/>
          <w:numId w:val="5"/>
        </w:numPr>
        <w:suppressAutoHyphens/>
        <w:autoSpaceDE/>
        <w:autoSpaceDN/>
        <w:adjustRightInd/>
        <w:ind w:left="426" w:hanging="426"/>
        <w:jc w:val="both"/>
        <w:rPr>
          <w:rFonts w:eastAsia="Times New Roman"/>
          <w:szCs w:val="24"/>
        </w:rPr>
      </w:pPr>
      <w:r w:rsidRPr="00D41084">
        <w:rPr>
          <w:rFonts w:eastAsia="Times New Roman"/>
          <w:szCs w:val="24"/>
        </w:rPr>
        <w:t>partnerstwo we wdrażaniu LSR, w tym sieciowanie i współpraca (realizacja projektów współpracy nie tylko z LGD, ale innymi podmiotami z obszaru, wymiana doświadczeń i</w:t>
      </w:r>
      <w:r w:rsidR="00A32B2F">
        <w:rPr>
          <w:rFonts w:eastAsia="Times New Roman"/>
          <w:szCs w:val="24"/>
        </w:rPr>
        <w:t> </w:t>
      </w:r>
      <w:r w:rsidRPr="00D41084">
        <w:rPr>
          <w:rFonts w:eastAsia="Times New Roman"/>
          <w:szCs w:val="24"/>
        </w:rPr>
        <w:t xml:space="preserve"> rozpowszechnianie dobrych praktyk);</w:t>
      </w:r>
    </w:p>
    <w:p w14:paraId="2CDF9B71" w14:textId="77777777" w:rsidR="002417C9" w:rsidRPr="00D41084" w:rsidRDefault="002417C9" w:rsidP="002417C9">
      <w:pPr>
        <w:widowControl/>
        <w:numPr>
          <w:ilvl w:val="0"/>
          <w:numId w:val="5"/>
        </w:numPr>
        <w:suppressAutoHyphens/>
        <w:autoSpaceDE/>
        <w:autoSpaceDN/>
        <w:adjustRightInd/>
        <w:ind w:left="426" w:hanging="426"/>
        <w:jc w:val="both"/>
        <w:rPr>
          <w:rFonts w:eastAsia="Times New Roman"/>
          <w:szCs w:val="24"/>
        </w:rPr>
      </w:pPr>
      <w:r w:rsidRPr="00D41084">
        <w:rPr>
          <w:rFonts w:eastAsia="Times New Roman"/>
          <w:szCs w:val="24"/>
        </w:rPr>
        <w:t>innowacyjność (w skali lokalnej);</w:t>
      </w:r>
    </w:p>
    <w:p w14:paraId="195B029D" w14:textId="77777777" w:rsidR="002417C9" w:rsidRPr="00D41084" w:rsidRDefault="002417C9" w:rsidP="002417C9">
      <w:pPr>
        <w:widowControl/>
        <w:numPr>
          <w:ilvl w:val="0"/>
          <w:numId w:val="5"/>
        </w:numPr>
        <w:suppressAutoHyphens/>
        <w:autoSpaceDE/>
        <w:autoSpaceDN/>
        <w:adjustRightInd/>
        <w:ind w:left="426" w:hanging="426"/>
        <w:jc w:val="both"/>
        <w:rPr>
          <w:rFonts w:eastAsia="Times New Roman"/>
          <w:szCs w:val="24"/>
        </w:rPr>
      </w:pPr>
      <w:r w:rsidRPr="00D41084">
        <w:rPr>
          <w:rFonts w:eastAsia="Times New Roman"/>
          <w:szCs w:val="24"/>
        </w:rPr>
        <w:t>terytorialność – jak najlepsze zaadresowanie zdiagnozowanych potrzeb i problemów danego obszaru.</w:t>
      </w:r>
    </w:p>
    <w:p w14:paraId="537FFC3A" w14:textId="13439407" w:rsidR="002417C9" w:rsidRPr="00D41084" w:rsidRDefault="002417C9" w:rsidP="002417C9">
      <w:pPr>
        <w:suppressAutoHyphens/>
        <w:spacing w:before="120"/>
        <w:jc w:val="both"/>
        <w:rPr>
          <w:rFonts w:eastAsia="Times New Roman"/>
          <w:szCs w:val="24"/>
        </w:rPr>
      </w:pPr>
      <w:r w:rsidRPr="00D41084">
        <w:rPr>
          <w:rFonts w:eastAsia="Times New Roman"/>
          <w:szCs w:val="24"/>
        </w:rPr>
        <w:t>Jednym z aspektów uzyskania wsparcia z EFRROW będzie zweryfikowanie potencjału LSR do wdrażania nowych proponowanych przez KE narzędzi rozwoju terytorialnego np. koncepcji w skali mikro tzw. Smart Villages</w:t>
      </w:r>
      <w:r w:rsidRPr="00D41084">
        <w:rPr>
          <w:rFonts w:eastAsia="Times New Roman"/>
          <w:szCs w:val="24"/>
          <w:vertAlign w:val="superscript"/>
        </w:rPr>
        <w:footnoteReference w:id="2"/>
      </w:r>
      <w:r w:rsidRPr="00D41084">
        <w:rPr>
          <w:rFonts w:eastAsia="Times New Roman"/>
          <w:szCs w:val="24"/>
        </w:rPr>
        <w:t>.</w:t>
      </w:r>
      <w:r w:rsidR="009B5E60">
        <w:rPr>
          <w:rFonts w:eastAsia="Times New Roman"/>
          <w:szCs w:val="24"/>
        </w:rPr>
        <w:t xml:space="preserve"> Oznacza to, że weryfikacji może podlegać fakt </w:t>
      </w:r>
      <w:r w:rsidR="009B5E60">
        <w:rPr>
          <w:rFonts w:eastAsia="Times New Roman"/>
          <w:szCs w:val="24"/>
        </w:rPr>
        <w:lastRenderedPageBreak/>
        <w:t>przewidzenia w LSR zakresu wsparcia dotyczącego tworzenia koncepcji SV i realizacji operacji wynikających z koncepcji SV utworzonych zarówno z wykorzystaniem środków EFRROW z LSR wdrażanych w okresie finansowym 2014</w:t>
      </w:r>
      <w:r w:rsidR="000B1B0C">
        <w:rPr>
          <w:rFonts w:eastAsia="Times New Roman"/>
          <w:szCs w:val="24"/>
        </w:rPr>
        <w:t>–</w:t>
      </w:r>
      <w:r w:rsidR="009B5E60">
        <w:rPr>
          <w:rFonts w:eastAsia="Times New Roman"/>
          <w:szCs w:val="24"/>
        </w:rPr>
        <w:t>2020 jak i tych, które dopiero zostaną</w:t>
      </w:r>
      <w:r w:rsidR="00317F88">
        <w:rPr>
          <w:rFonts w:eastAsia="Times New Roman"/>
          <w:szCs w:val="24"/>
        </w:rPr>
        <w:t xml:space="preserve"> utworzone z wykorzystaniem </w:t>
      </w:r>
      <w:r w:rsidR="009B5E60">
        <w:rPr>
          <w:rFonts w:eastAsia="Times New Roman"/>
          <w:szCs w:val="24"/>
        </w:rPr>
        <w:t>ze środków LSR</w:t>
      </w:r>
      <w:r w:rsidR="00317F88">
        <w:rPr>
          <w:rFonts w:eastAsia="Times New Roman"/>
          <w:szCs w:val="24"/>
        </w:rPr>
        <w:t xml:space="preserve"> </w:t>
      </w:r>
      <w:r w:rsidR="009B5E60">
        <w:rPr>
          <w:rFonts w:eastAsia="Times New Roman"/>
          <w:szCs w:val="24"/>
        </w:rPr>
        <w:t>stają</w:t>
      </w:r>
      <w:r w:rsidR="00317F88">
        <w:rPr>
          <w:rFonts w:eastAsia="Times New Roman"/>
          <w:szCs w:val="24"/>
        </w:rPr>
        <w:t>cej</w:t>
      </w:r>
      <w:r w:rsidR="009B5E60">
        <w:rPr>
          <w:rFonts w:eastAsia="Times New Roman"/>
          <w:szCs w:val="24"/>
        </w:rPr>
        <w:t xml:space="preserve"> do konkursu.</w:t>
      </w:r>
    </w:p>
    <w:p w14:paraId="6FFC29F0" w14:textId="77777777" w:rsidR="002417C9" w:rsidRPr="00D41084" w:rsidRDefault="002417C9" w:rsidP="002417C9">
      <w:pPr>
        <w:suppressAutoHyphens/>
        <w:spacing w:before="120"/>
        <w:jc w:val="both"/>
        <w:rPr>
          <w:rFonts w:eastAsia="Times New Roman"/>
          <w:szCs w:val="24"/>
        </w:rPr>
      </w:pPr>
      <w:r w:rsidRPr="00D41084">
        <w:rPr>
          <w:rFonts w:eastAsia="Times New Roman"/>
          <w:szCs w:val="24"/>
        </w:rPr>
        <w:t>Ponadto niektóre z warunków dostępu zostaną dodatkowo zweryfikowane w kontekście jakościowym opracowania LSR czyli adekwatność przyjętych rozwiązań do stwierdzonych potrzeb/braków na danym obszarze oraz doboru grupy docelowej.</w:t>
      </w:r>
    </w:p>
    <w:p w14:paraId="37E1D978" w14:textId="77777777" w:rsidR="002417C9" w:rsidRPr="00D41084" w:rsidRDefault="002417C9" w:rsidP="002417C9">
      <w:pPr>
        <w:suppressAutoHyphens/>
        <w:spacing w:before="120"/>
        <w:jc w:val="both"/>
        <w:rPr>
          <w:rFonts w:eastAsia="Times New Roman"/>
          <w:szCs w:val="24"/>
        </w:rPr>
      </w:pPr>
      <w:r w:rsidRPr="00D41084">
        <w:rPr>
          <w:rFonts w:eastAsia="Times New Roman"/>
          <w:szCs w:val="24"/>
        </w:rPr>
        <w:t>Ważnym aspektem będzie również poziom zaangażowania w realizację LSR środków innych niż środki przewidziane na realizację programu tj. udział środków własnych lub zewnętrznych innych niż fundusze finansujące w ramach RLKS czy sama wielofunduszowość w ramach RLKS. Wagi poszczególnych kryteriów zostaną określone w regulaminie konkursu na wybór LSR.</w:t>
      </w:r>
    </w:p>
    <w:p w14:paraId="6E609F0B" w14:textId="77777777" w:rsidR="002417C9" w:rsidRPr="00D41084" w:rsidRDefault="002417C9" w:rsidP="002417C9">
      <w:pPr>
        <w:suppressAutoHyphens/>
        <w:spacing w:before="120"/>
        <w:jc w:val="both"/>
        <w:rPr>
          <w:rFonts w:eastAsia="Times New Roman"/>
          <w:szCs w:val="24"/>
        </w:rPr>
      </w:pPr>
      <w:r w:rsidRPr="00D41084">
        <w:rPr>
          <w:rFonts w:eastAsia="Times New Roman"/>
          <w:szCs w:val="24"/>
        </w:rPr>
        <w:t xml:space="preserve">W ramach ww. procedury wyboru LSR zostały zdiagnozowane obszary ryzyka, na których wstępuje problem z ustaleniem pierwszeństwa przyznania wsparcia. </w:t>
      </w:r>
    </w:p>
    <w:p w14:paraId="0BC249A8" w14:textId="77777777" w:rsidR="002417C9" w:rsidRPr="00D41084" w:rsidRDefault="002417C9" w:rsidP="002417C9">
      <w:pPr>
        <w:suppressAutoHyphens/>
        <w:spacing w:before="120"/>
        <w:jc w:val="both"/>
        <w:rPr>
          <w:rFonts w:eastAsia="Times New Roman"/>
          <w:szCs w:val="24"/>
        </w:rPr>
      </w:pPr>
      <w:r w:rsidRPr="00D41084">
        <w:rPr>
          <w:rFonts w:eastAsia="Times New Roman"/>
          <w:szCs w:val="24"/>
        </w:rPr>
        <w:t>Na poziomie regionalnym wystąpić może sytuacja:</w:t>
      </w:r>
    </w:p>
    <w:p w14:paraId="379071CC" w14:textId="77777777" w:rsidR="002417C9" w:rsidRPr="00D41084" w:rsidRDefault="002417C9" w:rsidP="002417C9">
      <w:pPr>
        <w:widowControl/>
        <w:numPr>
          <w:ilvl w:val="0"/>
          <w:numId w:val="6"/>
        </w:numPr>
        <w:suppressAutoHyphens/>
        <w:autoSpaceDE/>
        <w:autoSpaceDN/>
        <w:adjustRightInd/>
        <w:jc w:val="both"/>
        <w:rPr>
          <w:rFonts w:eastAsia="Times New Roman"/>
          <w:szCs w:val="24"/>
        </w:rPr>
      </w:pPr>
      <w:r w:rsidRPr="00D41084">
        <w:rPr>
          <w:rFonts w:eastAsia="Times New Roman"/>
          <w:szCs w:val="24"/>
        </w:rPr>
        <w:t>wewnętrzna, że co najmniej 2 LSR:</w:t>
      </w:r>
    </w:p>
    <w:p w14:paraId="3B6A68B1" w14:textId="77777777" w:rsidR="002417C9" w:rsidRPr="00D41084" w:rsidRDefault="002417C9" w:rsidP="002417C9">
      <w:pPr>
        <w:widowControl/>
        <w:numPr>
          <w:ilvl w:val="0"/>
          <w:numId w:val="14"/>
        </w:numPr>
        <w:suppressAutoHyphens/>
        <w:autoSpaceDE/>
        <w:autoSpaceDN/>
        <w:adjustRightInd/>
        <w:ind w:hanging="357"/>
        <w:jc w:val="both"/>
        <w:rPr>
          <w:rFonts w:eastAsia="Times New Roman"/>
          <w:szCs w:val="24"/>
        </w:rPr>
      </w:pPr>
      <w:r w:rsidRPr="00D41084">
        <w:rPr>
          <w:rFonts w:eastAsia="Times New Roman"/>
          <w:szCs w:val="24"/>
        </w:rPr>
        <w:t>obejmują tą samą gminę,</w:t>
      </w:r>
    </w:p>
    <w:p w14:paraId="7C3F1002" w14:textId="77777777" w:rsidR="002417C9" w:rsidRPr="00D41084" w:rsidRDefault="002417C9" w:rsidP="002417C9">
      <w:pPr>
        <w:widowControl/>
        <w:numPr>
          <w:ilvl w:val="0"/>
          <w:numId w:val="14"/>
        </w:numPr>
        <w:suppressAutoHyphens/>
        <w:autoSpaceDE/>
        <w:autoSpaceDN/>
        <w:adjustRightInd/>
        <w:ind w:hanging="357"/>
        <w:jc w:val="both"/>
        <w:rPr>
          <w:rFonts w:eastAsia="Times New Roman"/>
          <w:szCs w:val="24"/>
        </w:rPr>
      </w:pPr>
      <w:r w:rsidRPr="00D41084">
        <w:rPr>
          <w:rFonts w:eastAsia="Times New Roman"/>
          <w:szCs w:val="24"/>
        </w:rPr>
        <w:t>uzyskają taką samą liczbę punktów;</w:t>
      </w:r>
    </w:p>
    <w:p w14:paraId="1A562865" w14:textId="77777777" w:rsidR="002417C9" w:rsidRPr="00D41084" w:rsidRDefault="002417C9" w:rsidP="002417C9">
      <w:pPr>
        <w:widowControl/>
        <w:numPr>
          <w:ilvl w:val="0"/>
          <w:numId w:val="6"/>
        </w:numPr>
        <w:suppressAutoHyphens/>
        <w:autoSpaceDE/>
        <w:autoSpaceDN/>
        <w:adjustRightInd/>
        <w:ind w:hanging="357"/>
        <w:jc w:val="both"/>
        <w:rPr>
          <w:rFonts w:eastAsia="Times New Roman"/>
          <w:szCs w:val="24"/>
        </w:rPr>
      </w:pPr>
      <w:r w:rsidRPr="00D41084">
        <w:rPr>
          <w:rFonts w:eastAsia="Times New Roman"/>
          <w:szCs w:val="24"/>
        </w:rPr>
        <w:t>zewnętrzna, że co najmniej 2 LSR obejmują gminę w ramach co najmniej 2</w:t>
      </w:r>
      <w:r>
        <w:rPr>
          <w:rFonts w:eastAsia="Times New Roman"/>
          <w:szCs w:val="24"/>
        </w:rPr>
        <w:t xml:space="preserve"> wniosków z różnych</w:t>
      </w:r>
      <w:r w:rsidRPr="00D41084">
        <w:rPr>
          <w:rFonts w:eastAsia="Times New Roman"/>
          <w:szCs w:val="24"/>
        </w:rPr>
        <w:t xml:space="preserve"> regionów.</w:t>
      </w:r>
    </w:p>
    <w:p w14:paraId="76587458" w14:textId="77777777" w:rsidR="002417C9" w:rsidRPr="00D41084" w:rsidRDefault="002417C9" w:rsidP="002417C9">
      <w:pPr>
        <w:suppressAutoHyphens/>
        <w:spacing w:before="120"/>
        <w:jc w:val="both"/>
        <w:rPr>
          <w:rFonts w:eastAsia="Times New Roman"/>
          <w:szCs w:val="24"/>
        </w:rPr>
      </w:pPr>
      <w:r w:rsidRPr="00D41084">
        <w:rPr>
          <w:rFonts w:eastAsia="Times New Roman"/>
          <w:szCs w:val="24"/>
        </w:rPr>
        <w:t>Na poziomie krajowym wystąpić może sytuacja, że co najmniej 2 LSR uzyskały taką samą liczbę punktów.</w:t>
      </w:r>
    </w:p>
    <w:p w14:paraId="3A744303" w14:textId="22929C26" w:rsidR="002417C9" w:rsidRPr="00D41084" w:rsidRDefault="002417C9" w:rsidP="002417C9">
      <w:pPr>
        <w:suppressAutoHyphens/>
        <w:spacing w:before="120"/>
        <w:jc w:val="both"/>
        <w:rPr>
          <w:rFonts w:eastAsia="Times New Roman"/>
          <w:szCs w:val="24"/>
          <w:lang w:bidi="pl-PL"/>
        </w:rPr>
      </w:pPr>
      <w:r w:rsidRPr="00D41084">
        <w:rPr>
          <w:rFonts w:eastAsia="Times New Roman"/>
          <w:szCs w:val="24"/>
          <w:lang w:bidi="pl-PL"/>
        </w:rPr>
        <w:t xml:space="preserve">Mając na uwadze rozstrzygnięcie ww. kwestii, art. </w:t>
      </w:r>
      <w:r w:rsidR="00BC551A">
        <w:rPr>
          <w:rFonts w:eastAsia="Times New Roman"/>
          <w:szCs w:val="24"/>
          <w:lang w:bidi="pl-PL"/>
        </w:rPr>
        <w:t>4</w:t>
      </w:r>
      <w:r w:rsidRPr="00D41084">
        <w:rPr>
          <w:rFonts w:eastAsia="Times New Roman"/>
          <w:szCs w:val="24"/>
          <w:lang w:bidi="pl-PL"/>
        </w:rPr>
        <w:t xml:space="preserve"> pkt 12 projektowanej ustawy wprowadzający nowy art. 10a ustawy o RLKS reguluje kwestie w zakresie mechanizmu umożliwiającego rozstrzygnięcie w ww. sytuacjach. I tak, w sytuacji, gdy zostaną złożone co najmniej dwa wnioski o wybór LSR:</w:t>
      </w:r>
    </w:p>
    <w:p w14:paraId="193BAB6D" w14:textId="77777777" w:rsidR="002417C9" w:rsidRPr="00D41084" w:rsidRDefault="002417C9" w:rsidP="002417C9">
      <w:pPr>
        <w:pStyle w:val="Akapitzlist"/>
        <w:numPr>
          <w:ilvl w:val="2"/>
          <w:numId w:val="12"/>
        </w:numPr>
        <w:suppressAutoHyphens/>
        <w:ind w:left="567" w:hanging="567"/>
        <w:contextualSpacing w:val="0"/>
        <w:jc w:val="both"/>
        <w:rPr>
          <w:rFonts w:eastAsia="Times New Roman"/>
          <w:szCs w:val="24"/>
          <w:lang w:bidi="pl-PL"/>
        </w:rPr>
      </w:pPr>
      <w:r w:rsidRPr="00D41084">
        <w:rPr>
          <w:rFonts w:eastAsia="Times New Roman"/>
          <w:szCs w:val="24"/>
          <w:lang w:bidi="pl-PL"/>
        </w:rPr>
        <w:t>których obszary wdrażania co najmniej dwóch LSR obejmują obszar co najmniej jednej tej samej gminy, o wyborze LSR decydują w następującej kolejności:</w:t>
      </w:r>
    </w:p>
    <w:p w14:paraId="212C2634" w14:textId="77777777" w:rsidR="002417C9" w:rsidRPr="00D41084" w:rsidRDefault="002417C9" w:rsidP="002417C9">
      <w:pPr>
        <w:widowControl/>
        <w:numPr>
          <w:ilvl w:val="0"/>
          <w:numId w:val="8"/>
        </w:numPr>
        <w:suppressAutoHyphens/>
        <w:autoSpaceDE/>
        <w:autoSpaceDN/>
        <w:adjustRightInd/>
        <w:ind w:left="993" w:hanging="426"/>
        <w:jc w:val="both"/>
        <w:rPr>
          <w:rFonts w:eastAsia="Times New Roman"/>
          <w:szCs w:val="24"/>
          <w:lang w:bidi="pl-PL"/>
        </w:rPr>
      </w:pPr>
      <w:r w:rsidRPr="00D41084">
        <w:rPr>
          <w:rFonts w:eastAsia="Times New Roman"/>
          <w:bCs/>
          <w:szCs w:val="24"/>
          <w:lang w:bidi="pl-PL"/>
        </w:rPr>
        <w:lastRenderedPageBreak/>
        <w:t>większa liczba uzyskanych punktów w ramach oceny kryteriów wyboru,</w:t>
      </w:r>
    </w:p>
    <w:p w14:paraId="35C255CF" w14:textId="77777777" w:rsidR="002417C9" w:rsidRPr="00D41084" w:rsidRDefault="002417C9" w:rsidP="002417C9">
      <w:pPr>
        <w:widowControl/>
        <w:numPr>
          <w:ilvl w:val="0"/>
          <w:numId w:val="8"/>
        </w:numPr>
        <w:suppressAutoHyphens/>
        <w:autoSpaceDE/>
        <w:autoSpaceDN/>
        <w:adjustRightInd/>
        <w:ind w:left="993" w:hanging="426"/>
        <w:jc w:val="both"/>
        <w:rPr>
          <w:rFonts w:eastAsia="Times New Roman"/>
          <w:szCs w:val="24"/>
          <w:lang w:bidi="pl-PL"/>
        </w:rPr>
      </w:pPr>
      <w:r w:rsidRPr="00D41084">
        <w:rPr>
          <w:rFonts w:eastAsia="Times New Roman"/>
          <w:szCs w:val="24"/>
          <w:lang w:bidi="pl-PL"/>
        </w:rPr>
        <w:t>większa liczba uzyskanych punktów w ramach oceny kolejnych poszczególnych kryteriów wyboru określonych w regulaminie konkursu,</w:t>
      </w:r>
    </w:p>
    <w:p w14:paraId="7B62B386" w14:textId="77777777" w:rsidR="002417C9" w:rsidRPr="00D41084" w:rsidRDefault="002417C9" w:rsidP="002417C9">
      <w:pPr>
        <w:widowControl/>
        <w:numPr>
          <w:ilvl w:val="0"/>
          <w:numId w:val="8"/>
        </w:numPr>
        <w:suppressAutoHyphens/>
        <w:autoSpaceDE/>
        <w:autoSpaceDN/>
        <w:adjustRightInd/>
        <w:ind w:left="993" w:hanging="426"/>
        <w:jc w:val="both"/>
        <w:rPr>
          <w:rFonts w:eastAsia="Times New Roman"/>
          <w:szCs w:val="24"/>
          <w:lang w:bidi="pl-PL"/>
        </w:rPr>
      </w:pPr>
      <w:r w:rsidRPr="00D41084">
        <w:rPr>
          <w:rFonts w:eastAsia="Times New Roman"/>
          <w:bCs/>
          <w:szCs w:val="24"/>
          <w:lang w:bidi="pl-PL"/>
        </w:rPr>
        <w:t>większa liczba mieszkańców obszaru objętego LSR,</w:t>
      </w:r>
    </w:p>
    <w:p w14:paraId="148E06E8" w14:textId="77777777" w:rsidR="002417C9" w:rsidRPr="00D41084" w:rsidRDefault="002417C9" w:rsidP="002417C9">
      <w:pPr>
        <w:widowControl/>
        <w:numPr>
          <w:ilvl w:val="0"/>
          <w:numId w:val="8"/>
        </w:numPr>
        <w:suppressAutoHyphens/>
        <w:autoSpaceDE/>
        <w:autoSpaceDN/>
        <w:adjustRightInd/>
        <w:ind w:left="993" w:hanging="426"/>
        <w:jc w:val="both"/>
        <w:rPr>
          <w:rFonts w:eastAsia="Times New Roman"/>
          <w:szCs w:val="24"/>
          <w:lang w:bidi="pl-PL"/>
        </w:rPr>
      </w:pPr>
      <w:r w:rsidRPr="00D41084">
        <w:rPr>
          <w:rFonts w:eastAsia="Times New Roman"/>
          <w:szCs w:val="24"/>
          <w:lang w:bidi="pl-PL"/>
        </w:rPr>
        <w:t>udział obszarów po zlikwidowanych państwowych przedsiębiorstwach gospodarki rolnej w obszarze LSR ogółem,</w:t>
      </w:r>
    </w:p>
    <w:p w14:paraId="27ABA310" w14:textId="77777777" w:rsidR="002417C9" w:rsidRPr="00D41084" w:rsidRDefault="002417C9" w:rsidP="002417C9">
      <w:pPr>
        <w:widowControl/>
        <w:numPr>
          <w:ilvl w:val="0"/>
          <w:numId w:val="8"/>
        </w:numPr>
        <w:suppressAutoHyphens/>
        <w:autoSpaceDE/>
        <w:autoSpaceDN/>
        <w:adjustRightInd/>
        <w:ind w:left="993" w:hanging="426"/>
        <w:jc w:val="both"/>
        <w:rPr>
          <w:rFonts w:eastAsia="Times New Roman"/>
          <w:szCs w:val="24"/>
          <w:lang w:bidi="pl-PL"/>
        </w:rPr>
      </w:pPr>
      <w:r w:rsidRPr="00D41084">
        <w:t>planowana realizacja LSR współfinansowana ze środków więcej niż jednego spośród EFSI</w:t>
      </w:r>
      <w:r w:rsidRPr="00D41084">
        <w:rPr>
          <w:rFonts w:eastAsia="Times New Roman"/>
          <w:szCs w:val="24"/>
          <w:lang w:bidi="pl-PL"/>
        </w:rPr>
        <w:t>.</w:t>
      </w:r>
    </w:p>
    <w:p w14:paraId="7E9B59CD" w14:textId="77777777" w:rsidR="002417C9" w:rsidRPr="00D41084" w:rsidRDefault="002417C9" w:rsidP="002417C9">
      <w:pPr>
        <w:pStyle w:val="Akapitzlist"/>
        <w:numPr>
          <w:ilvl w:val="2"/>
          <w:numId w:val="12"/>
        </w:numPr>
        <w:suppressAutoHyphens/>
        <w:ind w:left="567" w:hanging="567"/>
        <w:contextualSpacing w:val="0"/>
        <w:jc w:val="both"/>
        <w:rPr>
          <w:rFonts w:eastAsia="Times New Roman"/>
          <w:szCs w:val="24"/>
          <w:lang w:bidi="pl-PL"/>
        </w:rPr>
      </w:pPr>
      <w:r w:rsidRPr="00D41084">
        <w:rPr>
          <w:rFonts w:eastAsia="Times New Roman"/>
          <w:szCs w:val="24"/>
          <w:lang w:bidi="pl-PL"/>
        </w:rPr>
        <w:t>które uzyskały taką samą liczbę punktów w ramach oceny pod względem spełnienia kryteriów wyboru LSR, o wyborze LSR decydują w następującej kolejności:</w:t>
      </w:r>
    </w:p>
    <w:p w14:paraId="28D10822" w14:textId="77777777" w:rsidR="002417C9" w:rsidRPr="00D41084" w:rsidRDefault="002417C9" w:rsidP="002417C9">
      <w:pPr>
        <w:widowControl/>
        <w:numPr>
          <w:ilvl w:val="0"/>
          <w:numId w:val="10"/>
        </w:numPr>
        <w:suppressAutoHyphens/>
        <w:autoSpaceDE/>
        <w:autoSpaceDN/>
        <w:adjustRightInd/>
        <w:ind w:left="993" w:hanging="426"/>
        <w:jc w:val="both"/>
        <w:rPr>
          <w:rFonts w:eastAsia="Times New Roman"/>
          <w:szCs w:val="24"/>
          <w:lang w:bidi="pl-PL"/>
        </w:rPr>
      </w:pPr>
      <w:r w:rsidRPr="00D41084">
        <w:t>większa liczba uzyskanych punktów w ramach oceny kolejnych poszczególnych kryteriów wyboru określonych w regulaminie konkursu,</w:t>
      </w:r>
      <w:r w:rsidRPr="00D41084">
        <w:rPr>
          <w:rFonts w:eastAsia="Times New Roman"/>
          <w:bCs/>
          <w:szCs w:val="24"/>
          <w:lang w:bidi="pl-PL"/>
        </w:rPr>
        <w:t xml:space="preserve"> </w:t>
      </w:r>
    </w:p>
    <w:p w14:paraId="7631C129" w14:textId="77777777" w:rsidR="002417C9" w:rsidRPr="00D41084" w:rsidRDefault="002417C9" w:rsidP="002417C9">
      <w:pPr>
        <w:widowControl/>
        <w:numPr>
          <w:ilvl w:val="0"/>
          <w:numId w:val="10"/>
        </w:numPr>
        <w:suppressAutoHyphens/>
        <w:autoSpaceDE/>
        <w:autoSpaceDN/>
        <w:adjustRightInd/>
        <w:ind w:left="993" w:hanging="426"/>
        <w:jc w:val="both"/>
        <w:rPr>
          <w:rFonts w:eastAsia="Times New Roman"/>
          <w:szCs w:val="24"/>
          <w:lang w:bidi="pl-PL"/>
        </w:rPr>
      </w:pPr>
      <w:r w:rsidRPr="00D41084">
        <w:rPr>
          <w:rFonts w:eastAsia="Times New Roman"/>
          <w:bCs/>
          <w:szCs w:val="24"/>
          <w:lang w:bidi="pl-PL"/>
        </w:rPr>
        <w:t xml:space="preserve">większa liczba mieszkańców obszaru objętego LSR, </w:t>
      </w:r>
    </w:p>
    <w:p w14:paraId="6DCC46AA" w14:textId="77777777" w:rsidR="002417C9" w:rsidRPr="00D41084" w:rsidRDefault="002417C9" w:rsidP="002417C9">
      <w:pPr>
        <w:widowControl/>
        <w:numPr>
          <w:ilvl w:val="0"/>
          <w:numId w:val="10"/>
        </w:numPr>
        <w:suppressAutoHyphens/>
        <w:autoSpaceDE/>
        <w:autoSpaceDN/>
        <w:adjustRightInd/>
        <w:ind w:left="993" w:hanging="426"/>
        <w:jc w:val="both"/>
        <w:rPr>
          <w:rFonts w:eastAsia="Times New Roman"/>
          <w:szCs w:val="24"/>
          <w:lang w:bidi="pl-PL"/>
        </w:rPr>
      </w:pPr>
      <w:r w:rsidRPr="00D41084">
        <w:rPr>
          <w:rFonts w:eastAsia="Times New Roman"/>
          <w:szCs w:val="24"/>
          <w:lang w:bidi="pl-PL"/>
        </w:rPr>
        <w:t>udział obszarów po zlikwidowanych państwowych przedsiębiorstwach gospodarki rolnej w obszarach LSR ogółem,</w:t>
      </w:r>
    </w:p>
    <w:p w14:paraId="50BFE2DD" w14:textId="77777777" w:rsidR="002417C9" w:rsidRPr="00D41084" w:rsidRDefault="002417C9" w:rsidP="002417C9">
      <w:pPr>
        <w:widowControl/>
        <w:numPr>
          <w:ilvl w:val="0"/>
          <w:numId w:val="10"/>
        </w:numPr>
        <w:suppressAutoHyphens/>
        <w:autoSpaceDE/>
        <w:autoSpaceDN/>
        <w:adjustRightInd/>
        <w:ind w:left="993" w:hanging="426"/>
        <w:jc w:val="both"/>
        <w:rPr>
          <w:rFonts w:eastAsia="Times New Roman"/>
          <w:szCs w:val="24"/>
          <w:lang w:bidi="pl-PL"/>
        </w:rPr>
      </w:pPr>
      <w:r w:rsidRPr="00D41084">
        <w:t>planowana realizacja LSR współfinansowana ze środków więcej niż jednego spośród EFSI</w:t>
      </w:r>
      <w:r w:rsidRPr="00D41084">
        <w:rPr>
          <w:rFonts w:eastAsia="Times New Roman"/>
          <w:szCs w:val="24"/>
          <w:lang w:bidi="pl-PL"/>
        </w:rPr>
        <w:t>.</w:t>
      </w:r>
    </w:p>
    <w:p w14:paraId="6C6F22E8" w14:textId="77777777" w:rsidR="002417C9" w:rsidRPr="00D41084" w:rsidRDefault="002417C9" w:rsidP="002417C9">
      <w:pPr>
        <w:suppressAutoHyphens/>
        <w:spacing w:before="120"/>
        <w:jc w:val="both"/>
        <w:rPr>
          <w:rFonts w:eastAsia="Times New Roman"/>
          <w:bCs/>
          <w:szCs w:val="24"/>
          <w:lang w:bidi="pl-PL"/>
        </w:rPr>
      </w:pPr>
      <w:r w:rsidRPr="00D41084">
        <w:rPr>
          <w:rFonts w:eastAsia="Times New Roman"/>
          <w:bCs/>
          <w:szCs w:val="24"/>
          <w:lang w:bidi="pl-PL"/>
        </w:rPr>
        <w:t>Katalog kryteriów wyboru oraz kolejność ich stosowania w przypadku wystąpienia co najmniej jednego z powyżej wymienionych przypadków konfliktu będzie określony w regulaminie.</w:t>
      </w:r>
    </w:p>
    <w:p w14:paraId="7E9B0A53" w14:textId="77777777" w:rsidR="002417C9" w:rsidRPr="00D41084" w:rsidRDefault="002417C9" w:rsidP="002417C9">
      <w:pPr>
        <w:suppressAutoHyphens/>
        <w:spacing w:before="120"/>
        <w:jc w:val="both"/>
        <w:rPr>
          <w:rFonts w:eastAsia="Times New Roman"/>
          <w:szCs w:val="24"/>
          <w:lang w:bidi="pl-PL"/>
        </w:rPr>
      </w:pPr>
      <w:r w:rsidRPr="00D41084">
        <w:rPr>
          <w:rFonts w:eastAsia="Times New Roman"/>
          <w:szCs w:val="24"/>
        </w:rPr>
        <w:t>Należy</w:t>
      </w:r>
      <w:r w:rsidRPr="00D41084">
        <w:rPr>
          <w:rFonts w:eastAsia="Times New Roman"/>
          <w:szCs w:val="24"/>
          <w:lang w:bidi="pl-PL"/>
        </w:rPr>
        <w:t xml:space="preserve"> jednocześnie zauważyć, że w przypadku LSR znajdujących się na obszarze co najmniej dwóch regionów  (posiadających wspólny obszar wdrażania LSR obejmujący co najmniej jedną tą samą gminę), wymagana będzie współpraca </w:t>
      </w:r>
      <w:r w:rsidRPr="00D41084">
        <w:rPr>
          <w:rFonts w:eastAsia="Times New Roman"/>
          <w:szCs w:val="24"/>
        </w:rPr>
        <w:t>pomiędzy komisjami z tych regionów</w:t>
      </w:r>
      <w:r w:rsidRPr="00D41084">
        <w:rPr>
          <w:rFonts w:eastAsia="Times New Roman"/>
          <w:szCs w:val="24"/>
          <w:lang w:bidi="pl-PL"/>
        </w:rPr>
        <w:t>, w celu wyłonienia LSR dla danego obszaru, ponieważ na danym obszarze może zostać wybrana tylko jedna LSR.</w:t>
      </w:r>
    </w:p>
    <w:p w14:paraId="1CE80FA9" w14:textId="6D7D1BD8" w:rsidR="002417C9" w:rsidRPr="00D41084" w:rsidRDefault="002417C9" w:rsidP="002417C9">
      <w:pPr>
        <w:suppressAutoHyphens/>
        <w:spacing w:before="120"/>
        <w:jc w:val="both"/>
        <w:rPr>
          <w:rFonts w:eastAsia="Times New Roman"/>
          <w:szCs w:val="24"/>
        </w:rPr>
      </w:pPr>
      <w:r w:rsidRPr="00D41084">
        <w:rPr>
          <w:rFonts w:eastAsia="Times New Roman"/>
          <w:szCs w:val="24"/>
        </w:rPr>
        <w:t xml:space="preserve">Oceny punktowe przedstawione przez poszczególne komisje będą stanowiły podstawę do uszeregowania LSR na tzw. liście krajowej w zakresie EFRROW, przy czym wybrane zostaną tylko te, których wartość będzie mieścić się w limicie dostępnych środków, spełniając warunek o którym mowa w art. </w:t>
      </w:r>
      <w:r w:rsidR="00BC551A">
        <w:rPr>
          <w:rFonts w:eastAsia="Times New Roman"/>
          <w:szCs w:val="24"/>
        </w:rPr>
        <w:t>4</w:t>
      </w:r>
      <w:r w:rsidRPr="00D41084">
        <w:rPr>
          <w:rFonts w:eastAsia="Times New Roman"/>
          <w:szCs w:val="24"/>
        </w:rPr>
        <w:t xml:space="preserve"> pkt 7 lit</w:t>
      </w:r>
      <w:r w:rsidR="00567D41">
        <w:rPr>
          <w:rFonts w:eastAsia="Times New Roman"/>
          <w:szCs w:val="24"/>
        </w:rPr>
        <w:t>.</w:t>
      </w:r>
      <w:r w:rsidRPr="00D41084">
        <w:rPr>
          <w:rFonts w:eastAsia="Times New Roman"/>
          <w:szCs w:val="24"/>
        </w:rPr>
        <w:t xml:space="preserve"> c projektowanej ustawy zmieniającym art. 5 ust. 3 pkt 3 ustawy o RLKS. W celu usprawnienia tego procesu, planowane jest opracowanie narzędzia informatycznego, które po wprowadzeniu danych cząstkowych (liczba punktów w ramach poszczególnych kryteriów wyboru), dokona automatycznego uszeregowania LSR na liście, z</w:t>
      </w:r>
      <w:r w:rsidR="00A32B2F">
        <w:rPr>
          <w:rFonts w:eastAsia="Times New Roman"/>
          <w:szCs w:val="24"/>
        </w:rPr>
        <w:t> </w:t>
      </w:r>
      <w:r w:rsidRPr="00D41084">
        <w:rPr>
          <w:rFonts w:eastAsia="Times New Roman"/>
          <w:szCs w:val="24"/>
        </w:rPr>
        <w:t xml:space="preserve"> jednoczesnym wskazaniem, które LSR mieszczą się w limicie środków przewidzianych na konkurs w ramach poszczególnych funduszy. Planuje się, aby narzędzie to zostało opracowane </w:t>
      </w:r>
      <w:r w:rsidRPr="00D41084">
        <w:rPr>
          <w:rFonts w:eastAsia="Times New Roman"/>
          <w:szCs w:val="24"/>
        </w:rPr>
        <w:lastRenderedPageBreak/>
        <w:t>przez Agencję Restrukturyzacji i Modernizacji Rolnictwa. Zamierzeniem jest, aby po wprowadzeniu danych z poszczególnych komisji regionalnych, było to narzędzie „samoobsługowe”, które automatycznie utworzy listę wybranych LSR w całym kraju.</w:t>
      </w:r>
    </w:p>
    <w:p w14:paraId="0DAD8377" w14:textId="73A21697" w:rsidR="002417C9" w:rsidRPr="00D41084" w:rsidRDefault="002417C9" w:rsidP="002417C9">
      <w:pPr>
        <w:suppressAutoHyphens/>
        <w:spacing w:before="120"/>
        <w:jc w:val="both"/>
        <w:rPr>
          <w:rFonts w:eastAsia="Times New Roman"/>
          <w:szCs w:val="24"/>
        </w:rPr>
      </w:pPr>
      <w:r w:rsidRPr="00D41084">
        <w:rPr>
          <w:rFonts w:eastAsia="Times New Roman"/>
          <w:szCs w:val="24"/>
        </w:rPr>
        <w:t>Komisja nadal będzie informować LGD o wyniku wyboru LSR, przesyłając uchwałę o wyborze LSR zawierającą informację o liczbie punktów otrzymanych w ramach oceny poszczególnych kryteriów wyboru LSR, uzasadnienie tej oceny i pouczenie o możliwości wniesienia odwołania do IZ</w:t>
      </w:r>
      <w:r w:rsidRPr="00D41084">
        <w:rPr>
          <w:rFonts w:eastAsia="Times New Roman"/>
          <w:b/>
          <w:szCs w:val="24"/>
        </w:rPr>
        <w:t xml:space="preserve"> </w:t>
      </w:r>
      <w:r w:rsidRPr="00D41084">
        <w:rPr>
          <w:rFonts w:eastAsia="Times New Roman"/>
          <w:szCs w:val="24"/>
        </w:rPr>
        <w:t xml:space="preserve">właściwej dla danego EFSI, w zakresie wyniku oceny w ramach kryteriów wyboru LSR, co znalazło odzwierciedlenie w art. </w:t>
      </w:r>
      <w:r w:rsidR="00BC551A">
        <w:rPr>
          <w:rFonts w:eastAsia="Times New Roman"/>
          <w:szCs w:val="24"/>
        </w:rPr>
        <w:t>4</w:t>
      </w:r>
      <w:r w:rsidRPr="00D41084">
        <w:rPr>
          <w:rFonts w:eastAsia="Times New Roman"/>
          <w:szCs w:val="24"/>
        </w:rPr>
        <w:t xml:space="preserve"> pkt 13 lit</w:t>
      </w:r>
      <w:r w:rsidR="00B8053B">
        <w:rPr>
          <w:rFonts w:eastAsia="Times New Roman"/>
          <w:szCs w:val="24"/>
        </w:rPr>
        <w:t>.</w:t>
      </w:r>
      <w:r w:rsidRPr="00D41084">
        <w:rPr>
          <w:rFonts w:eastAsia="Times New Roman"/>
          <w:szCs w:val="24"/>
        </w:rPr>
        <w:t xml:space="preserve"> </w:t>
      </w:r>
      <w:r>
        <w:rPr>
          <w:rFonts w:eastAsia="Times New Roman"/>
          <w:szCs w:val="24"/>
        </w:rPr>
        <w:t xml:space="preserve">b, </w:t>
      </w:r>
      <w:r w:rsidRPr="00D41084">
        <w:rPr>
          <w:rFonts w:eastAsia="Times New Roman"/>
          <w:szCs w:val="24"/>
        </w:rPr>
        <w:t>e i f projektowanej ustawy</w:t>
      </w:r>
      <w:r>
        <w:rPr>
          <w:rFonts w:eastAsia="Times New Roman"/>
          <w:szCs w:val="24"/>
        </w:rPr>
        <w:t xml:space="preserve"> </w:t>
      </w:r>
      <w:r w:rsidRPr="00D41084">
        <w:rPr>
          <w:rFonts w:eastAsia="Times New Roman"/>
          <w:szCs w:val="24"/>
        </w:rPr>
        <w:t>zmieniający</w:t>
      </w:r>
      <w:r>
        <w:rPr>
          <w:rFonts w:eastAsia="Times New Roman"/>
          <w:szCs w:val="24"/>
        </w:rPr>
        <w:t>ch</w:t>
      </w:r>
      <w:r w:rsidRPr="00D41084">
        <w:rPr>
          <w:rFonts w:eastAsia="Times New Roman"/>
          <w:szCs w:val="24"/>
        </w:rPr>
        <w:t xml:space="preserve"> </w:t>
      </w:r>
      <w:r>
        <w:rPr>
          <w:rFonts w:eastAsia="Times New Roman"/>
          <w:szCs w:val="24"/>
        </w:rPr>
        <w:t>odpowiednio</w:t>
      </w:r>
      <w:r w:rsidRPr="00D41084">
        <w:rPr>
          <w:rFonts w:eastAsia="Times New Roman"/>
          <w:szCs w:val="24"/>
        </w:rPr>
        <w:t xml:space="preserve"> art. 11 ust. </w:t>
      </w:r>
      <w:r>
        <w:rPr>
          <w:rFonts w:eastAsia="Times New Roman"/>
          <w:szCs w:val="24"/>
        </w:rPr>
        <w:t>3 i</w:t>
      </w:r>
      <w:r w:rsidR="00276209">
        <w:rPr>
          <w:rFonts w:eastAsia="Times New Roman"/>
          <w:szCs w:val="24"/>
        </w:rPr>
        <w:t xml:space="preserve"> </w:t>
      </w:r>
      <w:r w:rsidRPr="00D41084">
        <w:rPr>
          <w:rFonts w:eastAsia="Times New Roman"/>
          <w:szCs w:val="24"/>
        </w:rPr>
        <w:t xml:space="preserve">6 </w:t>
      </w:r>
      <w:r>
        <w:rPr>
          <w:rFonts w:eastAsia="Times New Roman"/>
          <w:szCs w:val="24"/>
        </w:rPr>
        <w:t>oraz</w:t>
      </w:r>
      <w:r w:rsidRPr="00D41084">
        <w:rPr>
          <w:rFonts w:eastAsia="Times New Roman"/>
          <w:szCs w:val="24"/>
        </w:rPr>
        <w:t xml:space="preserve"> wprowadzający</w:t>
      </w:r>
      <w:r>
        <w:rPr>
          <w:rFonts w:eastAsia="Times New Roman"/>
          <w:szCs w:val="24"/>
        </w:rPr>
        <w:t>ch nowe ust</w:t>
      </w:r>
      <w:r w:rsidRPr="00D41084">
        <w:rPr>
          <w:rFonts w:eastAsia="Times New Roman"/>
          <w:szCs w:val="24"/>
        </w:rPr>
        <w:t>. 6a–6</w:t>
      </w:r>
      <w:r>
        <w:rPr>
          <w:rFonts w:eastAsia="Times New Roman"/>
          <w:szCs w:val="24"/>
        </w:rPr>
        <w:t>f</w:t>
      </w:r>
      <w:r w:rsidRPr="00D41084">
        <w:rPr>
          <w:rFonts w:eastAsia="Times New Roman"/>
          <w:szCs w:val="24"/>
        </w:rPr>
        <w:t xml:space="preserve"> ustawy o RLKS. </w:t>
      </w:r>
    </w:p>
    <w:p w14:paraId="54992121" w14:textId="77777777" w:rsidR="002417C9" w:rsidRPr="00D41084" w:rsidRDefault="002417C9" w:rsidP="002417C9">
      <w:pPr>
        <w:suppressAutoHyphens/>
        <w:spacing w:before="120"/>
        <w:jc w:val="both"/>
        <w:rPr>
          <w:rFonts w:eastAsia="Times New Roman"/>
          <w:szCs w:val="24"/>
          <w:lang w:bidi="pl-PL"/>
        </w:rPr>
      </w:pPr>
      <w:r w:rsidRPr="00D41084">
        <w:rPr>
          <w:rFonts w:eastAsia="Times New Roman"/>
          <w:szCs w:val="24"/>
        </w:rPr>
        <w:t xml:space="preserve">Termin na wniesienie odwołania do IZ wyniesie 7 dni licząc od dnia otrzymania tej informacji i może zostać złożone w formie pisemnej lub </w:t>
      </w:r>
      <w:r w:rsidRPr="00D41084">
        <w:t xml:space="preserve"> elektronicznej opatrzonej kwalifikowanym podpisem elektronicznym, podpisem zaufanym albo podpisem osobistym</w:t>
      </w:r>
      <w:r w:rsidRPr="00D41084">
        <w:rPr>
          <w:rFonts w:eastAsia="Times New Roman"/>
          <w:szCs w:val="24"/>
        </w:rPr>
        <w:t>. Jednym z elementów niezbędnych, które odwołanie do IZ musi zawierać jest wskazanie kryteriów wyboru LSR, z</w:t>
      </w:r>
      <w:r w:rsidR="00A32B2F">
        <w:rPr>
          <w:rFonts w:eastAsia="Times New Roman"/>
          <w:szCs w:val="24"/>
        </w:rPr>
        <w:t> </w:t>
      </w:r>
      <w:r w:rsidRPr="00D41084">
        <w:rPr>
          <w:rFonts w:eastAsia="Times New Roman"/>
          <w:szCs w:val="24"/>
        </w:rPr>
        <w:t xml:space="preserve"> których oceną LGD się nie zgadza, wraz z uzasadnieniem. Ponadto odwołanie </w:t>
      </w:r>
      <w:r w:rsidRPr="00D41084">
        <w:rPr>
          <w:rFonts w:eastAsia="Times New Roman"/>
          <w:szCs w:val="24"/>
          <w:lang w:bidi="pl-PL"/>
        </w:rPr>
        <w:t>nie może dotyczyć nie mieszczenia się w limicie dostępnych środków w ramach danego EFSI. W</w:t>
      </w:r>
      <w:r w:rsidR="00A32B2F">
        <w:rPr>
          <w:rFonts w:eastAsia="Times New Roman"/>
          <w:szCs w:val="24"/>
          <w:lang w:bidi="pl-PL"/>
        </w:rPr>
        <w:t xml:space="preserve">  </w:t>
      </w:r>
      <w:r w:rsidRPr="00D41084">
        <w:rPr>
          <w:rFonts w:eastAsia="Times New Roman"/>
          <w:szCs w:val="24"/>
          <w:lang w:bidi="pl-PL"/>
        </w:rPr>
        <w:t>przypadku, gdy odwołanie do IZ nie spełnia określonych w ustawie warunków, albo zostało wniesione po terminie, IZ pozostawia je bez rozpatrzenia.</w:t>
      </w:r>
    </w:p>
    <w:p w14:paraId="1198D1F9" w14:textId="77777777" w:rsidR="002417C9" w:rsidRPr="00D41084" w:rsidRDefault="002417C9" w:rsidP="002417C9">
      <w:pPr>
        <w:suppressAutoHyphens/>
        <w:spacing w:before="120"/>
        <w:jc w:val="both"/>
        <w:rPr>
          <w:rFonts w:eastAsia="Times New Roman"/>
          <w:szCs w:val="24"/>
          <w:lang w:bidi="pl-PL"/>
        </w:rPr>
      </w:pPr>
      <w:r w:rsidRPr="00D41084">
        <w:rPr>
          <w:rFonts w:eastAsia="Times New Roman"/>
          <w:szCs w:val="24"/>
          <w:lang w:bidi="pl-PL"/>
        </w:rPr>
        <w:t>IZ rozpatrując odwołanie dokonuje oceny pod względem spełnienia kryteriów wyboru LSR, wskazanych w odwołaniu. Po zakończeniu rozpatrywania odwołania, IZ informuje właściwą komisję o wyniku dokonanej oceny, w celu aktualizacji listy ocenionych LSR.</w:t>
      </w:r>
    </w:p>
    <w:p w14:paraId="2EBBEEE9" w14:textId="77777777" w:rsidR="002417C9" w:rsidRPr="00D41084" w:rsidRDefault="002417C9" w:rsidP="002417C9">
      <w:pPr>
        <w:suppressAutoHyphens/>
        <w:spacing w:before="120"/>
        <w:jc w:val="both"/>
        <w:rPr>
          <w:rFonts w:eastAsia="Times New Roman"/>
          <w:szCs w:val="24"/>
        </w:rPr>
      </w:pPr>
      <w:r w:rsidRPr="00D41084">
        <w:rPr>
          <w:rFonts w:eastAsia="Times New Roman"/>
          <w:szCs w:val="24"/>
        </w:rPr>
        <w:t>Odwołanie do IZ rozpatruje się w terminie 30 dni od dnia jego wniesienia, a i</w:t>
      </w:r>
      <w:r w:rsidRPr="00D41084">
        <w:rPr>
          <w:rFonts w:eastAsia="Times New Roman"/>
          <w:szCs w:val="24"/>
          <w:lang w:bidi="pl-PL"/>
        </w:rPr>
        <w:t xml:space="preserve">nformacja przekazana przez IZ do komisji jest dla komisji wiążąca. Do rozpatrzenia odwołania IZ może powołać ekspertów, wybieranych z listy ekspertów określonej odpowiednio przez właściwą IZ, a do ich powoływania stosować się będzie odpowiednio art. 68a ustawy z dnia 11 lipca 2014 r. o zasadach realizacji programów w zakresie polityki spójności finansowanych w perspektywie finansowej 2014–2020 (Dz. U. z 2020 r. poz. 818), przy czym nie mogą to być osoby, które były już zaangażowane w ocenę spełnienia </w:t>
      </w:r>
      <w:r w:rsidRPr="00D41084">
        <w:rPr>
          <w:rFonts w:eastAsia="Times New Roman"/>
          <w:szCs w:val="24"/>
        </w:rPr>
        <w:t>kryteriów wyboru, której dotyczy odwołanie.</w:t>
      </w:r>
    </w:p>
    <w:p w14:paraId="7AC935FC" w14:textId="1E81DE8B" w:rsidR="002417C9" w:rsidRPr="00D41084" w:rsidRDefault="002417C9" w:rsidP="002417C9">
      <w:pPr>
        <w:suppressAutoHyphens/>
        <w:spacing w:before="120"/>
        <w:jc w:val="both"/>
        <w:rPr>
          <w:rFonts w:eastAsia="Times New Roman"/>
          <w:szCs w:val="24"/>
          <w:lang w:bidi="pl-PL"/>
        </w:rPr>
      </w:pPr>
      <w:r w:rsidRPr="00D41084">
        <w:rPr>
          <w:rFonts w:eastAsia="Times New Roman"/>
          <w:szCs w:val="24"/>
          <w:lang w:bidi="pl-PL"/>
        </w:rPr>
        <w:t xml:space="preserve">W przypadku, gdy odwołanie nie zostało przez IZ uwzględnione </w:t>
      </w:r>
      <w:r w:rsidRPr="00D41084">
        <w:rPr>
          <w:rFonts w:eastAsia="Times New Roman"/>
          <w:bCs/>
          <w:szCs w:val="24"/>
          <w:lang w:bidi="pl-PL"/>
        </w:rPr>
        <w:t>–</w:t>
      </w:r>
      <w:r w:rsidRPr="00D41084">
        <w:rPr>
          <w:rFonts w:eastAsia="Times New Roman"/>
          <w:szCs w:val="24"/>
          <w:lang w:bidi="pl-PL"/>
        </w:rPr>
        <w:t xml:space="preserve"> LGD przysługuje prawo wniesienia skargi na zasadach i w trybie określonych dla aktów lub czynności, o których mowa w art. 3 § 2 pkt 4 ustawy z dnia 30 sierpnia 2002 r. </w:t>
      </w:r>
      <w:r w:rsidRPr="00D41084">
        <w:rPr>
          <w:rFonts w:eastAsia="Times New Roman"/>
          <w:szCs w:val="24"/>
        </w:rPr>
        <w:t>–</w:t>
      </w:r>
      <w:r w:rsidRPr="00D41084">
        <w:rPr>
          <w:rFonts w:eastAsia="Times New Roman"/>
          <w:szCs w:val="24"/>
          <w:lang w:bidi="pl-PL"/>
        </w:rPr>
        <w:t xml:space="preserve"> Prawo o postępowaniu przed sądami administracyjnymi </w:t>
      </w:r>
      <w:r w:rsidRPr="00D41084">
        <w:t xml:space="preserve">(Dz. U. z 2019 r. poz. 2325, z 2020 r. poz. 2299 i 2320 oraz z 2021 r. poz. 54 i 159), o którym mowa </w:t>
      </w:r>
      <w:r w:rsidR="00BC551A">
        <w:t>w</w:t>
      </w:r>
      <w:r w:rsidR="00BC551A" w:rsidRPr="00D41084">
        <w:t xml:space="preserve"> </w:t>
      </w:r>
      <w:r w:rsidRPr="00D41084">
        <w:t xml:space="preserve">art. </w:t>
      </w:r>
      <w:r w:rsidR="00BC551A">
        <w:t>4</w:t>
      </w:r>
      <w:r w:rsidR="00BC551A" w:rsidRPr="00D41084">
        <w:t xml:space="preserve"> </w:t>
      </w:r>
      <w:r w:rsidRPr="00D41084">
        <w:t xml:space="preserve">pkt 14 projektowanej ustawy wprowadzającej nowy art. 11a </w:t>
      </w:r>
      <w:r w:rsidRPr="00D41084">
        <w:lastRenderedPageBreak/>
        <w:t>do ustawy o RLKS</w:t>
      </w:r>
      <w:r w:rsidRPr="00D41084">
        <w:rPr>
          <w:rFonts w:eastAsia="Times New Roman"/>
          <w:szCs w:val="24"/>
          <w:lang w:bidi="pl-PL"/>
        </w:rPr>
        <w:t>.</w:t>
      </w:r>
    </w:p>
    <w:p w14:paraId="1429007B" w14:textId="6BAB688F" w:rsidR="002417C9" w:rsidRPr="00D41084" w:rsidRDefault="002417C9" w:rsidP="002417C9">
      <w:pPr>
        <w:suppressAutoHyphens/>
        <w:spacing w:before="120"/>
        <w:jc w:val="both"/>
        <w:rPr>
          <w:rFonts w:eastAsia="Times New Roman"/>
          <w:szCs w:val="24"/>
          <w:lang w:bidi="pl-PL"/>
        </w:rPr>
      </w:pPr>
      <w:r w:rsidRPr="00D41084">
        <w:rPr>
          <w:rFonts w:eastAsia="Times New Roman"/>
          <w:szCs w:val="24"/>
          <w:lang w:bidi="pl-PL"/>
        </w:rPr>
        <w:t>Utrzymanie rozwiązań dotyczących możliwości złożenia skargi do sądu administracyjnego w</w:t>
      </w:r>
      <w:r w:rsidR="00A32B2F">
        <w:rPr>
          <w:rFonts w:eastAsia="Times New Roman"/>
          <w:szCs w:val="24"/>
          <w:lang w:bidi="pl-PL"/>
        </w:rPr>
        <w:t> </w:t>
      </w:r>
      <w:r w:rsidRPr="00D41084">
        <w:rPr>
          <w:rFonts w:eastAsia="Times New Roman"/>
          <w:szCs w:val="24"/>
          <w:lang w:bidi="pl-PL"/>
        </w:rPr>
        <w:t xml:space="preserve"> wyniku wprowadzenia ww. procedur odwoławczych, tj. sprzeciwu do komisji i odwołania do IZ nie było możliwe w obowiązującym brzmieniu art. 10 ust. 6 i art. 11 ust. 6 ustawy o</w:t>
      </w:r>
      <w:r w:rsidR="00A32B2F">
        <w:rPr>
          <w:rFonts w:eastAsia="Times New Roman"/>
          <w:szCs w:val="24"/>
          <w:lang w:bidi="pl-PL"/>
        </w:rPr>
        <w:t> </w:t>
      </w:r>
      <w:r w:rsidRPr="00D41084">
        <w:rPr>
          <w:rFonts w:eastAsia="Times New Roman"/>
          <w:szCs w:val="24"/>
          <w:lang w:bidi="pl-PL"/>
        </w:rPr>
        <w:t xml:space="preserve"> RLKS. Tym samym, zostały one zmodyfikowane w konsekwencji wprowadzenia dodatkowych mechanizmów odwoławczych. Jednocześnie zaszła potrzeba wyodrębnienia przepisów dotyczących skarg. Proponowany art. </w:t>
      </w:r>
      <w:r w:rsidR="008D3F26">
        <w:rPr>
          <w:rFonts w:eastAsia="Times New Roman"/>
          <w:szCs w:val="24"/>
          <w:lang w:bidi="pl-PL"/>
        </w:rPr>
        <w:t>4</w:t>
      </w:r>
      <w:r w:rsidRPr="00D41084">
        <w:rPr>
          <w:rFonts w:eastAsia="Times New Roman"/>
          <w:szCs w:val="24"/>
          <w:lang w:bidi="pl-PL"/>
        </w:rPr>
        <w:t xml:space="preserve"> pkt 14 projektowanej ustawy wprowadza do ustawy o RLKS nowy art. 11a, który będzie dotyczyć możliwości złożenia skargi na zasadach i w trybie określonych dla aktów lub czynności z zakresu administracji publicznej dotyczące uprawnień lub obowiązków wynikających z przepisów prawa, o których mowa w art. 3 § 2 pkt 4 ustawy z dnia 30 sierpnia 2002 r. – Prawo o postępowaniu przed sądami administracyjnymi. Złożenie przez LGD skargi nie będzie jednak wstrzymywać wyboru pozostałych LSR, chyba, że skarga będzie dotyczyć któregoś z wniosków w przypadku, gdy zostaną złożone co najmniej dwa wnioski o wybór LSR, w których obszary wdrażania LSR obejmują co najmniej jedną tą samą gminę. Wprowadzenie dodatkowych mechanizmów odwoławczych miało również wpływ na zmianę art. 12 ustawy o RLKS w zakresie stosowania przepisów Kodeksu postępowania administracyjnego, o których mowa w art. </w:t>
      </w:r>
      <w:r w:rsidR="008D3F26">
        <w:rPr>
          <w:rFonts w:eastAsia="Times New Roman"/>
          <w:szCs w:val="24"/>
          <w:lang w:bidi="pl-PL"/>
        </w:rPr>
        <w:t>4</w:t>
      </w:r>
      <w:r w:rsidRPr="00D41084">
        <w:rPr>
          <w:rFonts w:eastAsia="Times New Roman"/>
          <w:szCs w:val="24"/>
          <w:lang w:bidi="pl-PL"/>
        </w:rPr>
        <w:t xml:space="preserve"> pkt 15 projektowanej ustawy.</w:t>
      </w:r>
    </w:p>
    <w:p w14:paraId="040432F2" w14:textId="77777777" w:rsidR="002417C9" w:rsidRPr="00D41084" w:rsidRDefault="002417C9" w:rsidP="002417C9">
      <w:pPr>
        <w:suppressAutoHyphens/>
        <w:spacing w:before="120"/>
        <w:jc w:val="both"/>
        <w:rPr>
          <w:rFonts w:eastAsia="Times New Roman"/>
          <w:szCs w:val="24"/>
        </w:rPr>
      </w:pPr>
      <w:r w:rsidRPr="00D41084">
        <w:rPr>
          <w:rFonts w:eastAsia="Times New Roman"/>
          <w:szCs w:val="24"/>
        </w:rPr>
        <w:t xml:space="preserve">Zakończeniem procesu wyboru LSR będzie, analogicznie jak w konkursie przeprowadzonym w roku 2016, zawarcie </w:t>
      </w:r>
      <w:r w:rsidRPr="00A32B2F">
        <w:rPr>
          <w:rFonts w:eastAsia="Times New Roman"/>
          <w:szCs w:val="24"/>
        </w:rPr>
        <w:t>umów o sposobie i warunkach realizacji strategii rozwoju lokalnego kierowanego przez społeczność</w:t>
      </w:r>
      <w:r w:rsidRPr="00D41084">
        <w:rPr>
          <w:rFonts w:eastAsia="Times New Roman"/>
          <w:szCs w:val="24"/>
        </w:rPr>
        <w:t>, zwanych „umowami ramowymi” między LGD (których LSR zostały wybrane i zmieściły się w dostępnym limicie środków) oraz zarządami województw.</w:t>
      </w:r>
    </w:p>
    <w:p w14:paraId="30233399" w14:textId="29D735B4" w:rsidR="002417C9" w:rsidRPr="00D41084" w:rsidRDefault="002417C9" w:rsidP="002417C9">
      <w:pPr>
        <w:suppressAutoHyphens/>
        <w:spacing w:before="120"/>
        <w:jc w:val="both"/>
        <w:rPr>
          <w:rFonts w:eastAsia="Times New Roman"/>
          <w:szCs w:val="24"/>
        </w:rPr>
      </w:pPr>
      <w:r w:rsidRPr="00D41084">
        <w:rPr>
          <w:rFonts w:eastAsia="Times New Roman"/>
          <w:szCs w:val="24"/>
        </w:rPr>
        <w:t xml:space="preserve">Z uwagi na wprowadzenie dwuetapowego procesu odwoławczego, art. </w:t>
      </w:r>
      <w:r w:rsidR="008D3F26">
        <w:rPr>
          <w:rFonts w:eastAsia="Times New Roman"/>
          <w:szCs w:val="24"/>
        </w:rPr>
        <w:t>4</w:t>
      </w:r>
      <w:r w:rsidRPr="00D41084">
        <w:rPr>
          <w:rFonts w:eastAsia="Times New Roman"/>
          <w:szCs w:val="24"/>
        </w:rPr>
        <w:t xml:space="preserve"> pkt 13 lit</w:t>
      </w:r>
      <w:r w:rsidR="00B8053B">
        <w:rPr>
          <w:rFonts w:eastAsia="Times New Roman"/>
          <w:szCs w:val="24"/>
        </w:rPr>
        <w:t>.</w:t>
      </w:r>
      <w:r w:rsidRPr="00D41084">
        <w:rPr>
          <w:rFonts w:eastAsia="Times New Roman"/>
          <w:szCs w:val="24"/>
        </w:rPr>
        <w:t xml:space="preserve"> d projektowanej ustawy wprowadza zmianę art. 11 ust. 5 ustawy o RLKS w zakresie terminu w jakim dokonuje się wyboru LSR wydłużając go do 5 miesięcy od dnia upływu terminu składania wniosków o wybór LSR. </w:t>
      </w:r>
    </w:p>
    <w:p w14:paraId="517F4B93" w14:textId="403408B1" w:rsidR="002417C9" w:rsidRPr="00D41084" w:rsidRDefault="002417C9" w:rsidP="002417C9">
      <w:pPr>
        <w:suppressAutoHyphens/>
        <w:spacing w:before="120"/>
        <w:jc w:val="both"/>
        <w:rPr>
          <w:rFonts w:eastAsia="Times New Roman"/>
          <w:szCs w:val="24"/>
          <w:lang w:bidi="pl-PL"/>
        </w:rPr>
      </w:pPr>
      <w:r w:rsidRPr="00D41084">
        <w:rPr>
          <w:rFonts w:eastAsia="Times New Roman"/>
          <w:szCs w:val="24"/>
        </w:rPr>
        <w:t xml:space="preserve">Ponadto biorąc pod uwagę ryzyko dużej liczby odwołań składanych do IZ, w art. </w:t>
      </w:r>
      <w:r w:rsidR="008D3F26">
        <w:rPr>
          <w:rFonts w:eastAsia="Times New Roman"/>
          <w:szCs w:val="24"/>
        </w:rPr>
        <w:t>4</w:t>
      </w:r>
      <w:r w:rsidRPr="00D41084">
        <w:rPr>
          <w:rFonts w:eastAsia="Times New Roman"/>
          <w:szCs w:val="24"/>
        </w:rPr>
        <w:t xml:space="preserve"> pkt 16 lit</w:t>
      </w:r>
      <w:r w:rsidR="00B8053B">
        <w:rPr>
          <w:rFonts w:eastAsia="Times New Roman"/>
          <w:szCs w:val="24"/>
        </w:rPr>
        <w:t>.</w:t>
      </w:r>
      <w:r w:rsidRPr="00D41084">
        <w:rPr>
          <w:rFonts w:eastAsia="Times New Roman"/>
          <w:szCs w:val="24"/>
        </w:rPr>
        <w:t xml:space="preserve"> a i b projektowanej ustawy wprowadzającej zmiany w art. 14 ust. 1 ustawy o RLKS zaproponowano wprowadzenie mechanizmu blokady części środków do dnia upływu terminu wniesienia skargi do sądu administracyjnego. Pozostała część środków będzie mogła być przeznaczona na niezwłoczne zawarcie umów ramowych z LGD wg kolejności wynikającej z</w:t>
      </w:r>
      <w:r w:rsidR="00A32B2F">
        <w:rPr>
          <w:rFonts w:eastAsia="Times New Roman"/>
          <w:szCs w:val="24"/>
        </w:rPr>
        <w:t> </w:t>
      </w:r>
      <w:r w:rsidRPr="00D41084">
        <w:rPr>
          <w:rFonts w:eastAsia="Times New Roman"/>
          <w:szCs w:val="24"/>
        </w:rPr>
        <w:t xml:space="preserve"> list ogłoszonych przez komisje. Tym samym wniesienie odwołania do IZ, nie wstrzymuje zawarcia umów ramowych, do określonej w regulaminie wysokości limitu, która nie zostanie zablokowana na rozstrzygnięcie odwołań.</w:t>
      </w:r>
      <w:r w:rsidRPr="00D41084">
        <w:rPr>
          <w:rFonts w:eastAsia="Times New Roman"/>
          <w:szCs w:val="24"/>
          <w:lang w:bidi="pl-PL"/>
        </w:rPr>
        <w:t xml:space="preserve"> Zawarcie umowy ramowej z LGD zostaje jednak </w:t>
      </w:r>
      <w:r w:rsidRPr="00D41084">
        <w:rPr>
          <w:rFonts w:eastAsia="Times New Roman"/>
          <w:szCs w:val="24"/>
          <w:lang w:bidi="pl-PL"/>
        </w:rPr>
        <w:lastRenderedPageBreak/>
        <w:t>wstrzymane do dnia upływu terminu na wniesienie skargi do sądu administracyjnego w sytuacji gdy obszar 2 LSR jest co najmniej w części tożsamy.</w:t>
      </w:r>
    </w:p>
    <w:p w14:paraId="1B831BD3" w14:textId="3D845A39" w:rsidR="00023CED" w:rsidRDefault="0019488C" w:rsidP="00DF29C4">
      <w:pPr>
        <w:suppressAutoHyphens/>
        <w:spacing w:before="120"/>
        <w:jc w:val="both"/>
        <w:rPr>
          <w:rFonts w:eastAsia="Times New Roman"/>
          <w:bCs/>
          <w:szCs w:val="24"/>
          <w:lang w:bidi="pl-PL"/>
        </w:rPr>
      </w:pPr>
      <w:r>
        <w:t>Pomimo możliwości ustalenia</w:t>
      </w:r>
      <w:r w:rsidR="002A33C7">
        <w:t xml:space="preserve"> dla LSR wielofunduszowych</w:t>
      </w:r>
      <w:r>
        <w:t xml:space="preserve"> jednego </w:t>
      </w:r>
      <w:r w:rsidR="00DF29C4">
        <w:t xml:space="preserve">właściwego funduszu w celu wspierania wszystkich kosztów przygotowania, zarządzania i animacji, o których mowa w art. 34 ust. 1 lit. a i c rozporządzenia </w:t>
      </w:r>
      <w:r w:rsidR="002A33C7">
        <w:t>CPR</w:t>
      </w:r>
      <w:r w:rsidR="00DF29C4">
        <w:t xml:space="preserve">, proponuje się rezygnację z </w:t>
      </w:r>
      <w:r w:rsidR="001224AC">
        <w:t>przesądzania tej kwestii na poziomie ustawowym</w:t>
      </w:r>
      <w:r w:rsidR="00B8053B">
        <w:t xml:space="preserve"> i tym samym art. 4 pkt 13 lit a </w:t>
      </w:r>
      <w:r w:rsidR="00567D41">
        <w:t>projektowanej ustawy uchyla zdanie drugie w art. 11 ust. 1 ustawy o RLKS</w:t>
      </w:r>
      <w:r w:rsidR="00DF29C4">
        <w:t xml:space="preserve">. </w:t>
      </w:r>
      <w:r w:rsidR="002A33C7">
        <w:t>Z doświadczenia we wdrażaniu LSR</w:t>
      </w:r>
      <w:r w:rsidR="00FC5299">
        <w:t xml:space="preserve"> z wykorzystaniem wielu funduszy i ustalaniu funduszu wiodącego dla kosztów ponoszonych w ramach kosztów bieżących i aktywizacji wynika, że większą korzyścią dla beneficjenta niż ustalony jed</w:t>
      </w:r>
      <w:r w:rsidR="00E84F68">
        <w:t>en</w:t>
      </w:r>
      <w:r w:rsidR="00FC5299">
        <w:t xml:space="preserve"> fundusz wiodący, jest wykorzystanie uproszczonych form wsparcia</w:t>
      </w:r>
      <w:r w:rsidR="001224AC">
        <w:t>, co w pełni należy rekomendować na kolejny okres programowania</w:t>
      </w:r>
      <w:r w:rsidR="00FC5299">
        <w:t xml:space="preserve">. Ponadto na obecnym etapie niemożliwe jest ustalenie zasad wyboru jednego właściwego funduszu w celu wspierania wszystkich kosztów przygotowania, zarządzania i animacji z uwagi na brak ostatecznych informacji od samorządów województw o decyzji odnośnie wdrażania RLKS w pełnej formule wielofunduszowości. </w:t>
      </w:r>
      <w:r w:rsidR="0030705B">
        <w:t>W związku z tym proponuje się, aby każdy fundusz niezależnie od pozostałych finansował niezbędną część wsparcia na pokrycie ww. kosztów w ramach indywidualnych możliwości poszczególnych funduszy</w:t>
      </w:r>
      <w:r w:rsidR="001224AC">
        <w:t xml:space="preserve"> przy wykorzystaniu uproszczonych form wsparcia</w:t>
      </w:r>
      <w:r w:rsidR="0030705B">
        <w:t>.</w:t>
      </w:r>
    </w:p>
    <w:p w14:paraId="0FCF23D4" w14:textId="19860517" w:rsidR="002417C9" w:rsidRPr="00D41084" w:rsidRDefault="002417C9" w:rsidP="002417C9">
      <w:pPr>
        <w:suppressAutoHyphens/>
        <w:spacing w:before="120"/>
        <w:jc w:val="both"/>
        <w:rPr>
          <w:rFonts w:eastAsia="Times New Roman"/>
          <w:bCs/>
          <w:szCs w:val="24"/>
          <w:lang w:bidi="pl-PL"/>
        </w:rPr>
      </w:pPr>
      <w:r w:rsidRPr="00D41084">
        <w:rPr>
          <w:rFonts w:eastAsia="Times New Roman"/>
          <w:bCs/>
          <w:szCs w:val="24"/>
          <w:lang w:bidi="pl-PL"/>
        </w:rPr>
        <w:t xml:space="preserve">Ponadto art. </w:t>
      </w:r>
      <w:r w:rsidR="008D3F26">
        <w:rPr>
          <w:rFonts w:eastAsia="Times New Roman"/>
          <w:bCs/>
          <w:szCs w:val="24"/>
          <w:lang w:bidi="pl-PL"/>
        </w:rPr>
        <w:t>4</w:t>
      </w:r>
      <w:r w:rsidRPr="00D41084">
        <w:rPr>
          <w:rFonts w:eastAsia="Times New Roman"/>
          <w:bCs/>
          <w:szCs w:val="24"/>
          <w:lang w:bidi="pl-PL"/>
        </w:rPr>
        <w:t xml:space="preserve"> pkt 16 lit</w:t>
      </w:r>
      <w:r w:rsidR="008D3F26">
        <w:rPr>
          <w:rFonts w:eastAsia="Times New Roman"/>
          <w:bCs/>
          <w:szCs w:val="24"/>
          <w:lang w:bidi="pl-PL"/>
        </w:rPr>
        <w:t>.</w:t>
      </w:r>
      <w:r w:rsidRPr="00D41084">
        <w:rPr>
          <w:rFonts w:eastAsia="Times New Roman"/>
          <w:bCs/>
          <w:szCs w:val="24"/>
          <w:lang w:bidi="pl-PL"/>
        </w:rPr>
        <w:t xml:space="preserve"> g projektowanej ustawy wprowadza ust. 7 do art. 14 ustawy o RLKS, który reguluje kwestię objęcia LSR obszarów tych gmin, które nie zostaną objęte wybranymi LSR – oczywiście pod warunkiem dostępności dodatkowych środków na wdrażanie LSR. W takiej sytuacji obszary tych gmin mogą być:</w:t>
      </w:r>
    </w:p>
    <w:p w14:paraId="189E3C02" w14:textId="77777777" w:rsidR="002417C9" w:rsidRPr="00D41084" w:rsidRDefault="002417C9" w:rsidP="002417C9">
      <w:pPr>
        <w:widowControl/>
        <w:numPr>
          <w:ilvl w:val="0"/>
          <w:numId w:val="9"/>
        </w:numPr>
        <w:suppressAutoHyphens/>
        <w:autoSpaceDE/>
        <w:autoSpaceDN/>
        <w:adjustRightInd/>
        <w:jc w:val="both"/>
        <w:rPr>
          <w:rFonts w:eastAsia="Times New Roman"/>
          <w:bCs/>
          <w:szCs w:val="24"/>
          <w:lang w:bidi="pl-PL"/>
        </w:rPr>
      </w:pPr>
      <w:r w:rsidRPr="00D41084">
        <w:rPr>
          <w:rFonts w:eastAsia="Times New Roman"/>
          <w:bCs/>
          <w:szCs w:val="24"/>
          <w:lang w:bidi="pl-PL"/>
        </w:rPr>
        <w:t>przyłączone do jednej z wybranych LSR (w trybie aneksowania umowy ramowej), o ile ich obszar graniczy z obszarem objętym LSR, lub</w:t>
      </w:r>
    </w:p>
    <w:p w14:paraId="0970D0DA" w14:textId="77777777" w:rsidR="002417C9" w:rsidRPr="00D41084" w:rsidRDefault="002417C9" w:rsidP="002417C9">
      <w:pPr>
        <w:widowControl/>
        <w:numPr>
          <w:ilvl w:val="0"/>
          <w:numId w:val="9"/>
        </w:numPr>
        <w:suppressAutoHyphens/>
        <w:autoSpaceDE/>
        <w:autoSpaceDN/>
        <w:adjustRightInd/>
        <w:jc w:val="both"/>
        <w:rPr>
          <w:rFonts w:eastAsia="Times New Roman"/>
          <w:bCs/>
          <w:szCs w:val="24"/>
          <w:lang w:bidi="pl-PL"/>
        </w:rPr>
      </w:pPr>
      <w:r w:rsidRPr="00D41084">
        <w:rPr>
          <w:rFonts w:eastAsia="Times New Roman"/>
          <w:bCs/>
          <w:szCs w:val="24"/>
          <w:lang w:bidi="pl-PL"/>
        </w:rPr>
        <w:t>objęte LSR, który weźmie udział w kolejnym konkursie na wybór LSR (o ile taki konkurs zostanie przeprowadzony).</w:t>
      </w:r>
    </w:p>
    <w:p w14:paraId="4808F08B" w14:textId="77777777" w:rsidR="002417C9" w:rsidRPr="00D41084" w:rsidRDefault="002417C9" w:rsidP="002417C9">
      <w:pPr>
        <w:widowControl/>
        <w:suppressAutoHyphens/>
        <w:autoSpaceDE/>
        <w:autoSpaceDN/>
        <w:adjustRightInd/>
        <w:spacing w:before="120"/>
        <w:jc w:val="both"/>
        <w:rPr>
          <w:rFonts w:eastAsia="Times New Roman"/>
          <w:szCs w:val="24"/>
        </w:rPr>
      </w:pPr>
      <w:r w:rsidRPr="00D41084">
        <w:rPr>
          <w:rFonts w:eastAsia="Times New Roman"/>
          <w:szCs w:val="24"/>
        </w:rPr>
        <w:t xml:space="preserve">W projekcie ustawy uwzględnione zostały również postulaty interesariuszy procesu wyboru LSR w zakresie ograniczenia liczby dokumentów stanowiących immamentną część LSR. Taka zmiana uzasadniana jest obszernością samego dokumentu oraz koniecznością sukcesywnego aktualizowania niektórych załączników np. Planu komunikacji z lokalną społecznością, co jest procesem długotrwałym i bardzo angażującym obie strony umowy ramowej. Mając na uwadze aktualne wymagania odnoszące się do tego dokumentu, wynikające z projektowanej regulacji art. 26 ust. 1 rozporządzenia CRP, dokument ten będzie mniej rozbudowany niż dotychczas. </w:t>
      </w:r>
    </w:p>
    <w:p w14:paraId="1A00EAED" w14:textId="0F1F3C46" w:rsidR="002417C9" w:rsidRPr="00D41084" w:rsidRDefault="002417C9" w:rsidP="002417C9">
      <w:pPr>
        <w:widowControl/>
        <w:suppressAutoHyphens/>
        <w:autoSpaceDE/>
        <w:autoSpaceDN/>
        <w:adjustRightInd/>
        <w:spacing w:before="120"/>
        <w:jc w:val="both"/>
        <w:rPr>
          <w:rFonts w:eastAsia="Times New Roman"/>
          <w:szCs w:val="24"/>
        </w:rPr>
      </w:pPr>
      <w:r w:rsidRPr="00D41084">
        <w:rPr>
          <w:rFonts w:eastAsia="Times New Roman"/>
          <w:szCs w:val="24"/>
        </w:rPr>
        <w:lastRenderedPageBreak/>
        <w:t>Tym samym projekt zmiany ustawy o RLKS zakłada wyodrębnienie Planu komunikacji z</w:t>
      </w:r>
      <w:r w:rsidR="00A32B2F">
        <w:rPr>
          <w:rFonts w:eastAsia="Times New Roman"/>
          <w:szCs w:val="24"/>
        </w:rPr>
        <w:t xml:space="preserve">  </w:t>
      </w:r>
      <w:r w:rsidRPr="00D41084">
        <w:rPr>
          <w:rFonts w:eastAsia="Times New Roman"/>
          <w:szCs w:val="24"/>
        </w:rPr>
        <w:t xml:space="preserve">lokalną społecznością z LSR. Powyższa zmiana nie jest wyrazem niskiej wagi tego dokumentu. Plan komunikacji z lokalną społecznością jest bardzo istotny dla procesu wdrażania LSR, w szczególności dla efektywności zadań LGD w zakresie aktywizacji społeczności lokalnej. Z doświadczeń z lat 2014–2020 wynika, że jego przygotowanie powinno być warunkiem dostępu do wyboru, co zostało odzwierciedlone w </w:t>
      </w:r>
      <w:r w:rsidRPr="006E43D4">
        <w:rPr>
          <w:rFonts w:eastAsia="Times New Roman"/>
          <w:szCs w:val="24"/>
        </w:rPr>
        <w:t xml:space="preserve">art. </w:t>
      </w:r>
      <w:r w:rsidR="008D3F26">
        <w:rPr>
          <w:rFonts w:eastAsia="Times New Roman"/>
          <w:szCs w:val="24"/>
        </w:rPr>
        <w:t>4</w:t>
      </w:r>
      <w:r w:rsidRPr="006E43D4">
        <w:rPr>
          <w:rFonts w:eastAsia="Times New Roman"/>
          <w:szCs w:val="24"/>
        </w:rPr>
        <w:t xml:space="preserve"> pkt 7 lit. a tiret </w:t>
      </w:r>
      <w:r w:rsidRPr="00D41084">
        <w:rPr>
          <w:rFonts w:eastAsia="Times New Roman"/>
          <w:szCs w:val="24"/>
        </w:rPr>
        <w:t xml:space="preserve">trzecie projektowanej ustawy zmieniającym </w:t>
      </w:r>
      <w:r w:rsidRPr="006E43D4">
        <w:rPr>
          <w:rFonts w:eastAsia="Times New Roman"/>
          <w:szCs w:val="24"/>
        </w:rPr>
        <w:t>art. 5 ust. 1 pkt 3 lit. b</w:t>
      </w:r>
      <w:r w:rsidRPr="00D41084">
        <w:rPr>
          <w:rFonts w:eastAsia="Times New Roman"/>
          <w:szCs w:val="24"/>
        </w:rPr>
        <w:t xml:space="preserve"> </w:t>
      </w:r>
      <w:r w:rsidRPr="00D41084">
        <w:rPr>
          <w:rFonts w:eastAsia="Times New Roman"/>
        </w:rPr>
        <w:t>ustawy o RLKS</w:t>
      </w:r>
      <w:r w:rsidRPr="00D41084">
        <w:rPr>
          <w:rFonts w:eastAsia="Times New Roman"/>
          <w:szCs w:val="24"/>
        </w:rPr>
        <w:t xml:space="preserve">. Dokument ten będzie jednak stanowił załącznik do umowy ramowej, co znalazło wyraz w </w:t>
      </w:r>
      <w:r w:rsidRPr="006E43D4">
        <w:rPr>
          <w:rFonts w:eastAsia="Times New Roman"/>
          <w:szCs w:val="24"/>
        </w:rPr>
        <w:t xml:space="preserve">art. </w:t>
      </w:r>
      <w:r w:rsidR="008D3F26">
        <w:rPr>
          <w:rFonts w:eastAsia="Times New Roman"/>
          <w:szCs w:val="24"/>
        </w:rPr>
        <w:t>4</w:t>
      </w:r>
      <w:r w:rsidRPr="006E43D4">
        <w:rPr>
          <w:rFonts w:eastAsia="Times New Roman"/>
          <w:szCs w:val="24"/>
        </w:rPr>
        <w:t xml:space="preserve"> pkt 16 lit. f</w:t>
      </w:r>
      <w:r w:rsidRPr="00D41084">
        <w:rPr>
          <w:rFonts w:eastAsia="Times New Roman"/>
          <w:szCs w:val="24"/>
        </w:rPr>
        <w:t xml:space="preserve"> projektowanej ustawy zmieniającym art. 14 ust. 6 ustawy o RLKS.</w:t>
      </w:r>
    </w:p>
    <w:p w14:paraId="30414530" w14:textId="7122BF69" w:rsidR="002417C9" w:rsidRPr="00D41084" w:rsidRDefault="002417C9" w:rsidP="002417C9">
      <w:pPr>
        <w:widowControl/>
        <w:suppressAutoHyphens/>
        <w:autoSpaceDE/>
        <w:autoSpaceDN/>
        <w:adjustRightInd/>
        <w:spacing w:before="120"/>
        <w:jc w:val="both"/>
        <w:rPr>
          <w:rFonts w:eastAsia="Times New Roman"/>
          <w:szCs w:val="24"/>
        </w:rPr>
      </w:pPr>
      <w:r w:rsidRPr="00D41084">
        <w:rPr>
          <w:rFonts w:eastAsia="Times New Roman"/>
          <w:szCs w:val="24"/>
        </w:rPr>
        <w:t xml:space="preserve">Natomiast w związku z wyodrębnieniem z warunków wyboru: warunków dostępu oraz kryteriów wyboru LSR, a także przy wyraźnie opisanym powyżej konkurencyjnym procesie wyboru LSR, nie ma potrzeby stosowania minimów punktowych w kryteriach, których funkcja była równoznaczna z określeniem dostępu do wsparcia. Tym samym regulację ustawy w tym zakresie proponuje się uchylić. W zamian natomiast art. </w:t>
      </w:r>
      <w:r w:rsidR="008D3F26">
        <w:rPr>
          <w:rFonts w:eastAsia="Times New Roman"/>
          <w:szCs w:val="24"/>
        </w:rPr>
        <w:t>4</w:t>
      </w:r>
      <w:r w:rsidRPr="00D41084">
        <w:rPr>
          <w:rFonts w:eastAsia="Times New Roman"/>
          <w:szCs w:val="24"/>
        </w:rPr>
        <w:t xml:space="preserve"> pkt 7 lit. c projektowanej ustawy wprowadza nowe brzmienie art. 5 ust. 3 ustawy o RLKS. Powyższe zmiany pociągają za sobą konieczność uchylenia art. 9 ust. 2 i 3 oraz art 14 ust. 3 ustawy o RLKS, o których mowa odpowiednio w art. </w:t>
      </w:r>
      <w:r w:rsidR="008D3F26">
        <w:rPr>
          <w:rFonts w:eastAsia="Times New Roman"/>
          <w:szCs w:val="24"/>
        </w:rPr>
        <w:t>4</w:t>
      </w:r>
      <w:r w:rsidRPr="00D41084">
        <w:rPr>
          <w:rFonts w:eastAsia="Times New Roman"/>
          <w:szCs w:val="24"/>
        </w:rPr>
        <w:t xml:space="preserve"> pkt 10 lit. a tiret trzecie i lit. b oraz art. </w:t>
      </w:r>
      <w:r w:rsidR="008D3F26">
        <w:rPr>
          <w:rFonts w:eastAsia="Times New Roman"/>
          <w:szCs w:val="24"/>
        </w:rPr>
        <w:t>4</w:t>
      </w:r>
      <w:r w:rsidRPr="00D41084">
        <w:rPr>
          <w:rFonts w:eastAsia="Times New Roman"/>
          <w:szCs w:val="24"/>
        </w:rPr>
        <w:t xml:space="preserve"> pkt 16 lit. d projektowanej ustawy. Uchylenie tych przepisów jest także wyrazem negatywnych doświadczeń z wdrożenia możliwości wyboru warunkowego LSR. W praktyce bowiem wprowadzane do LSR zmiany nie przynosiły oczekiwanej znacznej poprawy jakości tych LSR, bowiem ograniczały się tylko do zmian pozwalających na spełnienie minimum punktowego.</w:t>
      </w:r>
    </w:p>
    <w:p w14:paraId="53081A07" w14:textId="5D1617ED" w:rsidR="002417C9" w:rsidRPr="00D41084" w:rsidRDefault="002417C9" w:rsidP="002417C9">
      <w:pPr>
        <w:widowControl/>
        <w:suppressAutoHyphens/>
        <w:autoSpaceDE/>
        <w:autoSpaceDN/>
        <w:adjustRightInd/>
        <w:spacing w:before="120"/>
        <w:jc w:val="both"/>
        <w:rPr>
          <w:rFonts w:eastAsia="Times New Roman"/>
          <w:szCs w:val="24"/>
        </w:rPr>
      </w:pPr>
      <w:r w:rsidRPr="00D41084">
        <w:rPr>
          <w:rFonts w:eastAsia="Times New Roman"/>
          <w:szCs w:val="24"/>
        </w:rPr>
        <w:t xml:space="preserve">Ponadto w art. </w:t>
      </w:r>
      <w:r w:rsidR="008D3F26">
        <w:rPr>
          <w:rFonts w:eastAsia="Times New Roman"/>
          <w:szCs w:val="24"/>
        </w:rPr>
        <w:t>4</w:t>
      </w:r>
      <w:r w:rsidRPr="00D41084">
        <w:rPr>
          <w:rFonts w:eastAsia="Times New Roman"/>
          <w:szCs w:val="24"/>
        </w:rPr>
        <w:t xml:space="preserve"> pkt 16 lit. e tiret drugi projektowanej ustawy proponuje się uchylenie art. 14 ust. 4 pkt 5 ustawy o RLKS, przez co usunięto obowiązek załączenia do umowy ramowej Harmonogramu naborów wniosków o udzielenie wsparcia. Taką potrzebę zgłaszają podmioty wdrażające/instytucje pośredniczące argumentując, iż dokument ten wymaga ustawicznych aktualizacji między innymi z uwagi na permanentnie zmieniającą się sytuację z</w:t>
      </w:r>
      <w:r w:rsidR="00A32B2F">
        <w:rPr>
          <w:rFonts w:eastAsia="Times New Roman"/>
          <w:szCs w:val="24"/>
        </w:rPr>
        <w:t> </w:t>
      </w:r>
      <w:r w:rsidRPr="00D41084">
        <w:rPr>
          <w:rFonts w:eastAsia="Times New Roman"/>
          <w:szCs w:val="24"/>
        </w:rPr>
        <w:t xml:space="preserve"> wykorzystaniem dostępnego limitu środków na poszczególne przedsięwzięcia wynikające z</w:t>
      </w:r>
      <w:r w:rsidR="00A32B2F">
        <w:rPr>
          <w:rFonts w:eastAsia="Times New Roman"/>
          <w:szCs w:val="24"/>
        </w:rPr>
        <w:t> </w:t>
      </w:r>
      <w:r w:rsidRPr="00D41084">
        <w:rPr>
          <w:rFonts w:eastAsia="Times New Roman"/>
          <w:szCs w:val="24"/>
        </w:rPr>
        <w:t xml:space="preserve"> LSR i powinien podlegać szybszej ścieżce zmian niż wynika to z obecnie realizowanych umów ramowych. Wprowadzona zmiana jednak nie przesądza o ostatecznym usunięciu tego załącznika z umowy ramowej, gdyż katalog wymogów odnoszący się do treści tej umowy jest otwarty. Dokument ten pełni rolę porządkującą terminy ogłaszania naborów wniosków o</w:t>
      </w:r>
      <w:r w:rsidR="00A32B2F">
        <w:rPr>
          <w:rFonts w:eastAsia="Times New Roman"/>
          <w:szCs w:val="24"/>
        </w:rPr>
        <w:t> </w:t>
      </w:r>
      <w:r w:rsidRPr="00D41084">
        <w:rPr>
          <w:rFonts w:eastAsia="Times New Roman"/>
          <w:szCs w:val="24"/>
        </w:rPr>
        <w:t xml:space="preserve"> udzielenie wsparcia co zabezpiecza zarządy województw przed nadmierną kumulacją wniosków przekazanych do urzędu oraz umożliwia szacunkowe planowanie zapotrzebowania </w:t>
      </w:r>
      <w:r w:rsidRPr="00D41084">
        <w:rPr>
          <w:rFonts w:eastAsia="Times New Roman"/>
          <w:szCs w:val="24"/>
        </w:rPr>
        <w:lastRenderedPageBreak/>
        <w:t>środków na wypłatę wsparcia przez Agencję Płatniczą i w związku z tym jego częste zmiany  nie są pożądane. Tym samym, dyskusja w zakresie tego w jakim stopniu dokument ten powinien ulegać aktualizacjom oraz trybu jego aktualizacji, a w związku z tym decyzja o tym czy dokument powinien być załącznikiem do obowiązujących obecnie LGD umów ramowych, nie została zakończona. Gdyby jednak w dalszym toku uzgodnień w tym zakresie odstąpiono od pomysłu usunięcia tego załącznika z umowy ramowej regulacje ustawy nie stałyby na przeszkodzie.</w:t>
      </w:r>
    </w:p>
    <w:p w14:paraId="78DB6557" w14:textId="4EA600C8" w:rsidR="002417C9" w:rsidRPr="00D41084" w:rsidRDefault="002417C9" w:rsidP="002417C9">
      <w:pPr>
        <w:widowControl/>
        <w:suppressAutoHyphens/>
        <w:autoSpaceDE/>
        <w:autoSpaceDN/>
        <w:adjustRightInd/>
        <w:spacing w:before="120"/>
        <w:jc w:val="both"/>
        <w:rPr>
          <w:rFonts w:eastAsia="Times New Roman"/>
          <w:szCs w:val="24"/>
        </w:rPr>
      </w:pPr>
      <w:r w:rsidRPr="00D41084">
        <w:rPr>
          <w:rFonts w:eastAsia="Times New Roman"/>
          <w:szCs w:val="24"/>
        </w:rPr>
        <w:t>W podobny sposób</w:t>
      </w:r>
      <w:r w:rsidR="00567D41">
        <w:rPr>
          <w:rFonts w:eastAsia="Times New Roman"/>
          <w:szCs w:val="24"/>
        </w:rPr>
        <w:t>,</w:t>
      </w:r>
      <w:r w:rsidRPr="00D41084">
        <w:rPr>
          <w:rFonts w:eastAsia="Times New Roman"/>
          <w:szCs w:val="24"/>
        </w:rPr>
        <w:t xml:space="preserve"> w tym samym artykule projektowanej ustawy</w:t>
      </w:r>
      <w:r w:rsidR="00567D41">
        <w:rPr>
          <w:rFonts w:eastAsia="Times New Roman"/>
          <w:szCs w:val="24"/>
        </w:rPr>
        <w:t>,</w:t>
      </w:r>
      <w:r w:rsidRPr="00D41084">
        <w:rPr>
          <w:rFonts w:eastAsia="Times New Roman"/>
          <w:szCs w:val="24"/>
        </w:rPr>
        <w:t xml:space="preserve"> zaproponowano zmiany dotyczące zobowiązania, o którym mowa w art. 14 ust. 4 pkt 9 ustawy o RLKS, odnoszącego się do obowiązku LGD do stosowania wytycznych. Tak jak w przypadku uchylenia art. 14 ust. 4 pkt 5 ustawy o RLKS, uchylenie tej regulacji nie oznacza obowiązku usunięcia tego postanowienia z obowiązującego wzoru umowy ramowej, ale na przyszłość pozwala na elastyczną konstrukcję postanowień umowy ramowej w tym zakresie.</w:t>
      </w:r>
    </w:p>
    <w:p w14:paraId="13CBC2E7" w14:textId="33A0D7CF" w:rsidR="002417C9" w:rsidRPr="00D41084" w:rsidRDefault="002417C9" w:rsidP="002417C9">
      <w:pPr>
        <w:widowControl/>
        <w:suppressAutoHyphens/>
        <w:autoSpaceDE/>
        <w:autoSpaceDN/>
        <w:adjustRightInd/>
        <w:spacing w:before="120"/>
        <w:jc w:val="both"/>
        <w:rPr>
          <w:rFonts w:eastAsia="Times New Roman"/>
          <w:szCs w:val="24"/>
        </w:rPr>
      </w:pPr>
      <w:r w:rsidRPr="00D41084">
        <w:rPr>
          <w:rFonts w:eastAsia="Times New Roman"/>
          <w:szCs w:val="24"/>
        </w:rPr>
        <w:t>W związku z opóźnieniami w pracach legislacyjnych UE nad projektami regulującymi wdrażanie RLKS oraz w obliczu ustawicznie zmieniających się czynników zewnętrznych wpływających na wdrażanie tego instrumentu, proces zharmonizowani</w:t>
      </w:r>
      <w:r>
        <w:rPr>
          <w:rFonts w:eastAsia="Times New Roman"/>
          <w:szCs w:val="24"/>
        </w:rPr>
        <w:t>a</w:t>
      </w:r>
      <w:r w:rsidRPr="00D41084">
        <w:rPr>
          <w:rFonts w:eastAsia="Times New Roman"/>
          <w:szCs w:val="24"/>
        </w:rPr>
        <w:t xml:space="preserve"> sposobu wdrożenia RLKS na lata 2023–2027 jest jeszcze w fazie uzgodnień. Dlatego art. </w:t>
      </w:r>
      <w:r w:rsidR="008D3F26">
        <w:rPr>
          <w:rFonts w:eastAsia="Times New Roman"/>
          <w:szCs w:val="24"/>
        </w:rPr>
        <w:t>4</w:t>
      </w:r>
      <w:r w:rsidRPr="00D41084">
        <w:rPr>
          <w:rFonts w:eastAsia="Times New Roman"/>
          <w:szCs w:val="24"/>
        </w:rPr>
        <w:t xml:space="preserve"> pkt 7 lit. c projektowanej ustawy zmienia art. 5 ust. 3 pkt 1 ustawy o RLKS, odnoszący się do kryteriów wyboru LSR. Regulacje te będą uwzględnione w regulaminie konkursu po zakończeniu prac nad tym zagadnieniem przy wyraźnym podziale na warunki dostępu i kryteria wyboru. </w:t>
      </w:r>
    </w:p>
    <w:p w14:paraId="0B00DAFB" w14:textId="2BF15C44" w:rsidR="002417C9" w:rsidRPr="00D41084" w:rsidRDefault="002417C9" w:rsidP="002417C9">
      <w:pPr>
        <w:widowControl/>
        <w:suppressAutoHyphens/>
        <w:autoSpaceDE/>
        <w:autoSpaceDN/>
        <w:adjustRightInd/>
        <w:spacing w:before="120"/>
        <w:jc w:val="both"/>
        <w:rPr>
          <w:rFonts w:eastAsia="Times New Roman"/>
          <w:szCs w:val="24"/>
        </w:rPr>
      </w:pPr>
      <w:r w:rsidRPr="00D41084">
        <w:rPr>
          <w:rFonts w:eastAsia="Times New Roman"/>
          <w:szCs w:val="24"/>
        </w:rPr>
        <w:t xml:space="preserve">Art. </w:t>
      </w:r>
      <w:r w:rsidR="008D3F26">
        <w:rPr>
          <w:rFonts w:eastAsia="Times New Roman"/>
          <w:szCs w:val="24"/>
        </w:rPr>
        <w:t>4</w:t>
      </w:r>
      <w:r w:rsidRPr="00D41084">
        <w:rPr>
          <w:rFonts w:eastAsia="Times New Roman"/>
          <w:szCs w:val="24"/>
        </w:rPr>
        <w:t xml:space="preserve"> pkt 7 lit. d projektowanej ustawy aktualizuje art. 5 ust 4 ustawy o RLKS dot. warunku dostępu odnoszącego się do liczby mieszkańców objętych LSR – w zakresie daty publikacji danych statystycznych z 31 grudnia 2013 r. na 31 grudnia 2020 r. Z kolei art. </w:t>
      </w:r>
      <w:r w:rsidR="008D3F26">
        <w:rPr>
          <w:rFonts w:eastAsia="Times New Roman"/>
          <w:szCs w:val="24"/>
        </w:rPr>
        <w:t>4</w:t>
      </w:r>
      <w:r w:rsidRPr="00D41084">
        <w:rPr>
          <w:rFonts w:eastAsia="Times New Roman"/>
          <w:szCs w:val="24"/>
        </w:rPr>
        <w:t xml:space="preserve"> pkt 11 lit. a projektowanej ustawy wprowadza doprecyzowanie regulacji art. 10 ustawy o RLKS, przez dodanie w jego brzmieniu słów „lub uchybienia”, w celu zaznaczenia, iż wezwania zarządu województwa nie dotyczą jedynie usunięcia braków we wniosku o wybór LSR. Niemniej jednak przy zachowaniu dotychczas obowiązującej zasady, iż usunięcie braków lub uchybień we wniosku o wybór LSR lub poprawienie w nim oczywistych omyłek nie może prowadzić do jego modyfikacji w zakresie dotyczącym oceny prowadzonej przy użyciu kryteriów wyboru. Wydłużeniu uległ również termin na usunięcie braków lub uchybień lub oczywistych omyłek z 7 dni do 14 dni. Zmiana została zaproponowana na podstawie postulatów zgłaszanych przez wszystkie strony uczestniczące w procesie poprzedniego wyboru LSR.</w:t>
      </w:r>
    </w:p>
    <w:p w14:paraId="3ADD9877" w14:textId="36DD5752" w:rsidR="002417C9" w:rsidRPr="00D41084" w:rsidRDefault="002417C9" w:rsidP="002417C9">
      <w:pPr>
        <w:widowControl/>
        <w:suppressAutoHyphens/>
        <w:autoSpaceDE/>
        <w:autoSpaceDN/>
        <w:adjustRightInd/>
        <w:spacing w:before="120"/>
        <w:jc w:val="both"/>
        <w:rPr>
          <w:rFonts w:eastAsia="Times New Roman"/>
          <w:szCs w:val="24"/>
        </w:rPr>
      </w:pPr>
      <w:r w:rsidRPr="00D41084">
        <w:rPr>
          <w:rFonts w:eastAsia="Times New Roman"/>
          <w:szCs w:val="24"/>
        </w:rPr>
        <w:lastRenderedPageBreak/>
        <w:t xml:space="preserve">W ramach naboru wniosków o udzielenie wsparcia na przygotowanie nowych LSR, przy określaniu spełnienia warunku, o którym mowa w art. 5 ust. 1 pkt 2 zmienianej ustawy o RLKS, w art. </w:t>
      </w:r>
      <w:r w:rsidR="008D3F26">
        <w:rPr>
          <w:rFonts w:eastAsia="Times New Roman"/>
          <w:szCs w:val="24"/>
        </w:rPr>
        <w:t>4</w:t>
      </w:r>
      <w:r w:rsidRPr="00D41084">
        <w:rPr>
          <w:rFonts w:eastAsia="Times New Roman"/>
          <w:szCs w:val="24"/>
        </w:rPr>
        <w:t xml:space="preserve"> pkt 7 lit. d projektowanej ustawy proponuje się uwzględnienie danych dotyczących liczby mieszkańców według stanu na dzień 31 grudnia 2020 r. na podstawie wynikowych informacji statystycznych ogłaszanych, udostępnianych lub rozpowszechnianych zgodnie z</w:t>
      </w:r>
      <w:r w:rsidR="00306E7D">
        <w:rPr>
          <w:rFonts w:eastAsia="Times New Roman"/>
          <w:szCs w:val="24"/>
        </w:rPr>
        <w:t> </w:t>
      </w:r>
      <w:r w:rsidRPr="00D41084">
        <w:rPr>
          <w:rFonts w:eastAsia="Times New Roman"/>
          <w:szCs w:val="24"/>
        </w:rPr>
        <w:t xml:space="preserve"> przepisami o statystyce publicznej, </w:t>
      </w:r>
      <w:r w:rsidR="00567D41">
        <w:rPr>
          <w:rFonts w:eastAsia="Times New Roman"/>
          <w:szCs w:val="24"/>
        </w:rPr>
        <w:t>wprowadzając</w:t>
      </w:r>
      <w:r w:rsidRPr="00D41084">
        <w:rPr>
          <w:rFonts w:eastAsia="Times New Roman"/>
          <w:szCs w:val="24"/>
        </w:rPr>
        <w:t xml:space="preserve"> now</w:t>
      </w:r>
      <w:r w:rsidR="00567D41">
        <w:rPr>
          <w:rFonts w:eastAsia="Times New Roman"/>
          <w:szCs w:val="24"/>
        </w:rPr>
        <w:t>e</w:t>
      </w:r>
      <w:r w:rsidRPr="00D41084">
        <w:rPr>
          <w:rFonts w:eastAsia="Times New Roman"/>
          <w:szCs w:val="24"/>
        </w:rPr>
        <w:t xml:space="preserve"> brzmienie art. 5 ust. 4 ustawy o</w:t>
      </w:r>
      <w:r w:rsidR="00306E7D">
        <w:rPr>
          <w:rFonts w:eastAsia="Times New Roman"/>
          <w:szCs w:val="24"/>
        </w:rPr>
        <w:t> </w:t>
      </w:r>
      <w:r w:rsidRPr="00D41084">
        <w:rPr>
          <w:rFonts w:eastAsia="Times New Roman"/>
          <w:szCs w:val="24"/>
        </w:rPr>
        <w:t xml:space="preserve"> RLKS. Planuje się wykorzystanie tych samych danych przy określaniu spełnienia warunku dotyczącego liczby mieszkańców zamieszkałych na terenie objętym LSR podczas wyboru nowych LSR w nowym okresie programowania.</w:t>
      </w:r>
    </w:p>
    <w:p w14:paraId="622ED96E" w14:textId="646BB569" w:rsidR="002417C9" w:rsidRPr="00D41084" w:rsidRDefault="002417C9" w:rsidP="002417C9">
      <w:pPr>
        <w:widowControl/>
        <w:suppressAutoHyphens/>
        <w:autoSpaceDE/>
        <w:autoSpaceDN/>
        <w:adjustRightInd/>
        <w:spacing w:before="120"/>
        <w:jc w:val="both"/>
        <w:rPr>
          <w:rFonts w:eastAsia="Times New Roman"/>
          <w:szCs w:val="24"/>
        </w:rPr>
      </w:pPr>
      <w:r w:rsidRPr="00D41084">
        <w:rPr>
          <w:rFonts w:eastAsia="Times New Roman"/>
          <w:szCs w:val="24"/>
        </w:rPr>
        <w:t xml:space="preserve">W związku z tym, że dane z 2013 r. dotyczące liczby mieszkańców dla poszczególnych gmin mogły się zmienić w stosunku do danych z 2020 r., w przypadku niektórych LSR, które zostały wybrane do realizacji w ramach PROW 2014–2020, nie zostaną spełnione warunki dotyczące obszaru realizacji LSR w nowym naborze (w oparciu o dane z 2020 r.), pomimo, że na podstawie danych z 2013 r. były one spełnione. Należy mieć na uwadze, że sytuacja demograficzna na danym obszarze jest niezależna od LGD. W związku z tym proponuje się, aby w przypadku tych LGD, które realizują LSR w ramach PROW 2014–2020 i planują przygotowanie nowej LSR na nowy okres programowania, obejmującej ten sam obszar, uznać, że warunki, o których mowa w art. 5 ust. 1 pkt 2 ustawy o RLKS, są także spełnione jeżeli wnioskodawca jest stroną obecnie realizowanej umowy ramowej, a obszar objęty planowaną LSR jest tożsamy z obszarem objętym LSR stanowiącej załącznik do umowy ramowej (nowy art. 5 ust. 5 ustawy o RLKS, o którym mowa a art. </w:t>
      </w:r>
      <w:r w:rsidR="008D3F26">
        <w:rPr>
          <w:rFonts w:eastAsia="Times New Roman"/>
          <w:szCs w:val="24"/>
        </w:rPr>
        <w:t>4</w:t>
      </w:r>
      <w:r w:rsidRPr="00D41084">
        <w:rPr>
          <w:rFonts w:eastAsia="Times New Roman"/>
          <w:szCs w:val="24"/>
        </w:rPr>
        <w:t xml:space="preserve"> pkt 7 lit</w:t>
      </w:r>
      <w:r w:rsidR="00567D41">
        <w:rPr>
          <w:rFonts w:eastAsia="Times New Roman"/>
          <w:szCs w:val="24"/>
        </w:rPr>
        <w:t>.</w:t>
      </w:r>
      <w:r w:rsidRPr="00D41084">
        <w:rPr>
          <w:rFonts w:eastAsia="Times New Roman"/>
          <w:szCs w:val="24"/>
        </w:rPr>
        <w:t xml:space="preserve"> e projektowanej ustawy). Ma to szczególne znaczenie dla zachowania potencjału organizacyjnego tych LGD, które nie planują poszerzania lub zawężania obszaru objętego LSR. Należy zauważyć, że brak elastyczności wprowadzanej projektowanym przepisem spowodowałby sztuczne podziały lub połączenia części LGD, które nie miałby uzasadnienia w faktycznej spójności obszaru, a w skrajnych przypadkach mogłyby doprowadzić do wykluczenia części gmin z możliwości objęcia ich LSR. Dodatkowe uszczegółowienia tego przepisu dotyczące przedziału czasowego momentu zawarcia umowy ramowej wynikają z potrzeby uwzględnienia jedynie tych LSR, które są obecnie wdrażane w ramach PROW 2014–2020.</w:t>
      </w:r>
    </w:p>
    <w:p w14:paraId="3A5846C0" w14:textId="0E3E33CF" w:rsidR="002417C9" w:rsidRPr="00D41084" w:rsidRDefault="002417C9" w:rsidP="002417C9">
      <w:pPr>
        <w:widowControl/>
        <w:suppressAutoHyphens/>
        <w:autoSpaceDE/>
        <w:autoSpaceDN/>
        <w:adjustRightInd/>
        <w:spacing w:before="120"/>
        <w:jc w:val="both"/>
        <w:rPr>
          <w:rFonts w:eastAsia="Times New Roman"/>
          <w:szCs w:val="24"/>
        </w:rPr>
      </w:pPr>
      <w:r w:rsidRPr="00D41084">
        <w:rPr>
          <w:rFonts w:eastAsia="Times New Roman"/>
          <w:szCs w:val="24"/>
        </w:rPr>
        <w:t xml:space="preserve">Poprzez art. </w:t>
      </w:r>
      <w:r w:rsidR="008D3F26">
        <w:rPr>
          <w:rFonts w:eastAsia="Times New Roman"/>
          <w:szCs w:val="24"/>
        </w:rPr>
        <w:t>4</w:t>
      </w:r>
      <w:r w:rsidRPr="00D41084">
        <w:rPr>
          <w:rFonts w:eastAsia="Times New Roman"/>
          <w:szCs w:val="24"/>
        </w:rPr>
        <w:t xml:space="preserve"> pkt 18 lit. b tiret drugie projektowanej ustawy uchyla się art. 16 ust. 2 pkt 2 ustawy o RLKS</w:t>
      </w:r>
      <w:r w:rsidR="00567D41">
        <w:rPr>
          <w:rFonts w:eastAsia="Times New Roman"/>
          <w:szCs w:val="24"/>
        </w:rPr>
        <w:t>. W</w:t>
      </w:r>
      <w:r w:rsidRPr="00D41084">
        <w:rPr>
          <w:rFonts w:eastAsia="Times New Roman"/>
          <w:szCs w:val="24"/>
        </w:rPr>
        <w:t xml:space="preserve"> ramach nowego naboru wniosków o udzielenie wsparcia przygotowawczego przewiduje się rezygnację z warunku, iż „wszystkie gminy, których obszar jest planowany do objęcia LSR, są członkami podmiotu ubiegającego się o to wsparcie lub </w:t>
      </w:r>
      <w:r w:rsidRPr="00D41084">
        <w:rPr>
          <w:rFonts w:eastAsia="Times New Roman"/>
          <w:szCs w:val="24"/>
        </w:rPr>
        <w:lastRenderedPageBreak/>
        <w:t>zobowiązały się do współpracy z tym podmiotem i nie są członkami innego podmiotu ubiegającego się o to wsparcie, ani podmiotami, które zobowiązały się do współpracy z innym podmiotem ubiegającym się o to wsparcie” ponieważ na tym etapie należy stworzyć konkurencyjne warunki powstawania LSR, dopuszczając możliwość ubiegania się o wsparcie nowych podmiotów niezwiązanych dotychczasowymi stosunkami z lokalnymi władzami. Dotychczasowe wymagania, które trzeba było spełnić podczas ubiegania się o wsparcie przygotowawcze, ograniczały możliwość ubiegania się o to wsparcie przez nowo zawiązane partnerstwo, jeżeli nie miało poparcia przedstawicieli władz gmin, których obszar miałby być objęty LSR. Rezygnacja z powyższego warunku zyskuje dodatkowo na znaczeniu, ponieważ planuje się na etapie konkursu na wybór LSR rezygnację z obowiązkowego członkostwa w</w:t>
      </w:r>
      <w:r w:rsidR="00A32B2F">
        <w:rPr>
          <w:rFonts w:eastAsia="Times New Roman"/>
          <w:szCs w:val="24"/>
        </w:rPr>
        <w:t> </w:t>
      </w:r>
      <w:r w:rsidRPr="00D41084">
        <w:rPr>
          <w:rFonts w:eastAsia="Times New Roman"/>
          <w:szCs w:val="24"/>
        </w:rPr>
        <w:t xml:space="preserve"> LGD gminy jako osoby prawnej. W związku z umożliwieniem nowym podmiotom oraz LGD obecnie realizującym swoje LSR ubiegania się o wsparcie przygotowawcze, może dojść do sytuacji, w której na obszarze danej gminy będzie opracowywanych więcej niż jedna LSR. Dlatego konieczna jest modyfikacja art. 16 ust. 1 ustawy o RLKS, którą wprowadza art. </w:t>
      </w:r>
      <w:r w:rsidR="008D3F26">
        <w:rPr>
          <w:rFonts w:eastAsia="Times New Roman"/>
          <w:szCs w:val="24"/>
        </w:rPr>
        <w:t>4</w:t>
      </w:r>
      <w:r w:rsidRPr="00D41084">
        <w:rPr>
          <w:rFonts w:eastAsia="Times New Roman"/>
          <w:szCs w:val="24"/>
        </w:rPr>
        <w:t xml:space="preserve"> pkt</w:t>
      </w:r>
      <w:r w:rsidR="008D3F26">
        <w:rPr>
          <w:rFonts w:eastAsia="Times New Roman"/>
          <w:szCs w:val="24"/>
        </w:rPr>
        <w:t> </w:t>
      </w:r>
      <w:r w:rsidRPr="00D41084">
        <w:rPr>
          <w:rFonts w:eastAsia="Times New Roman"/>
          <w:szCs w:val="24"/>
        </w:rPr>
        <w:t xml:space="preserve"> 16 lit</w:t>
      </w:r>
      <w:r w:rsidR="00D96A15">
        <w:rPr>
          <w:rFonts w:eastAsia="Times New Roman"/>
          <w:szCs w:val="24"/>
        </w:rPr>
        <w:t>.</w:t>
      </w:r>
      <w:r w:rsidRPr="00D41084">
        <w:rPr>
          <w:rFonts w:eastAsia="Times New Roman"/>
          <w:szCs w:val="24"/>
        </w:rPr>
        <w:t xml:space="preserve"> a projektowanej ustawy, w postaci usunięcia fragmentu przepisu dotyczącego ograniczenia do jednej LSR na obszarze danej gminy.</w:t>
      </w:r>
    </w:p>
    <w:p w14:paraId="679EFBE7" w14:textId="77777777" w:rsidR="002417C9" w:rsidRPr="00117FC4" w:rsidRDefault="002417C9" w:rsidP="002417C9">
      <w:pPr>
        <w:widowControl/>
        <w:suppressAutoHyphens/>
        <w:autoSpaceDE/>
        <w:autoSpaceDN/>
        <w:adjustRightInd/>
        <w:spacing w:before="120"/>
        <w:jc w:val="both"/>
        <w:rPr>
          <w:rFonts w:eastAsia="Times New Roman"/>
          <w:szCs w:val="24"/>
        </w:rPr>
      </w:pPr>
      <w:r w:rsidRPr="00D41084">
        <w:rPr>
          <w:rFonts w:eastAsia="Times New Roman"/>
          <w:szCs w:val="24"/>
        </w:rPr>
        <w:t>Wzmocnienie zasad konkurencyjności na etapie tworzenia LSR powinno w sposób wymierny przełożyć się na jakość przedkładanych projektów. Troska o jakość LSR będących wynikiem wsparcia przygotowawczego skłania także do określenia dodatkowych warunków dostępu do</w:t>
      </w:r>
      <w:r w:rsidR="006E37E5">
        <w:rPr>
          <w:rFonts w:eastAsia="Times New Roman"/>
          <w:szCs w:val="24"/>
        </w:rPr>
        <w:t> </w:t>
      </w:r>
      <w:r w:rsidRPr="00D41084">
        <w:rPr>
          <w:rFonts w:eastAsia="Times New Roman"/>
          <w:szCs w:val="24"/>
        </w:rPr>
        <w:t xml:space="preserve"> tego wsparcia. LSR wybrane według nowych zasad będą najlepszej jakości, bowiem już na etapie weryfikacji warunków dostępu spełniony zostanie minimalny poziom jakości, który to dodatkowo zostanie zweryfikowany konkurencyjnie pod względem kryteriów wyboru LSR (na</w:t>
      </w:r>
      <w:r w:rsidR="00A32B2F">
        <w:rPr>
          <w:rFonts w:eastAsia="Times New Roman"/>
          <w:szCs w:val="24"/>
        </w:rPr>
        <w:t> </w:t>
      </w:r>
      <w:r w:rsidRPr="00D41084">
        <w:rPr>
          <w:rFonts w:eastAsia="Times New Roman"/>
          <w:szCs w:val="24"/>
        </w:rPr>
        <w:t xml:space="preserve"> poziomie obszaru oddziaływania LSR, regionu czy także kraju w przypadku wsparcia z</w:t>
      </w:r>
      <w:r w:rsidR="00A32B2F">
        <w:rPr>
          <w:rFonts w:eastAsia="Times New Roman"/>
          <w:szCs w:val="24"/>
        </w:rPr>
        <w:t> </w:t>
      </w:r>
      <w:r w:rsidRPr="00D41084">
        <w:rPr>
          <w:rFonts w:eastAsia="Times New Roman"/>
          <w:szCs w:val="24"/>
        </w:rPr>
        <w:t xml:space="preserve"> EFRROW).</w:t>
      </w:r>
    </w:p>
    <w:p w14:paraId="5932CA0C" w14:textId="77777777" w:rsidR="008B0397" w:rsidRPr="00117FC4" w:rsidRDefault="008B0397" w:rsidP="005511F4">
      <w:pPr>
        <w:widowControl/>
        <w:suppressAutoHyphens/>
        <w:autoSpaceDE/>
        <w:autoSpaceDN/>
        <w:adjustRightInd/>
        <w:spacing w:before="120" w:after="120"/>
        <w:jc w:val="both"/>
        <w:rPr>
          <w:b/>
        </w:rPr>
      </w:pPr>
      <w:r w:rsidRPr="00117FC4">
        <w:rPr>
          <w:b/>
        </w:rPr>
        <w:t xml:space="preserve">Zmiany w ustawie </w:t>
      </w:r>
      <w:r w:rsidRPr="00117FC4">
        <w:rPr>
          <w:rFonts w:eastAsia="Calibri"/>
          <w:b/>
        </w:rPr>
        <w:t>o wspieraniu rozwoju obszarów wiejskich z udziałem środków Europejskiego Funduszu Rolnego na rzecz Rozwoju Obszarów Wiejskich w ramach Programu Rozwoju Obszarów Wiejskich na lata 2014</w:t>
      </w:r>
      <w:r w:rsidRPr="00117FC4">
        <w:rPr>
          <w:b/>
        </w:rPr>
        <w:t>–</w:t>
      </w:r>
      <w:r w:rsidRPr="00117FC4">
        <w:rPr>
          <w:rFonts w:eastAsia="Calibri"/>
          <w:b/>
        </w:rPr>
        <w:t>2020</w:t>
      </w:r>
    </w:p>
    <w:p w14:paraId="0C7E153D" w14:textId="03563CC2" w:rsidR="004644C1" w:rsidRPr="00117FC4" w:rsidRDefault="004644C1" w:rsidP="005511F4">
      <w:pPr>
        <w:widowControl/>
        <w:suppressAutoHyphens/>
        <w:autoSpaceDE/>
        <w:autoSpaceDN/>
        <w:adjustRightInd/>
        <w:spacing w:before="120"/>
        <w:jc w:val="both"/>
      </w:pPr>
      <w:r w:rsidRPr="00117FC4">
        <w:t xml:space="preserve">Proponowana w art. </w:t>
      </w:r>
      <w:r w:rsidR="008D3F26">
        <w:t>5</w:t>
      </w:r>
      <w:r w:rsidR="005511F4" w:rsidRPr="00117FC4">
        <w:t xml:space="preserve"> </w:t>
      </w:r>
      <w:r w:rsidRPr="00117FC4">
        <w:t xml:space="preserve">zmiana ustawy </w:t>
      </w:r>
      <w:r w:rsidRPr="00117FC4">
        <w:rPr>
          <w:rFonts w:eastAsia="Calibri"/>
        </w:rPr>
        <w:t>z dnia 20 lutego 2015 r. o wspieraniu rozwoju obszarów wiejskich z udziałem środków Europejskiego Funduszu Rolnego na rzecz Rozwoju Obszarów Wiejskich w ramach Programu Rozwoju Obszarów Wiejskich na lata 2014</w:t>
      </w:r>
      <w:r w:rsidRPr="00117FC4">
        <w:t>–</w:t>
      </w:r>
      <w:r w:rsidRPr="00117FC4">
        <w:rPr>
          <w:rFonts w:eastAsia="Calibri"/>
        </w:rPr>
        <w:t xml:space="preserve">2020 </w:t>
      </w:r>
      <w:r w:rsidRPr="00117FC4">
        <w:rPr>
          <w:rFonts w:eastAsia="Calibri"/>
        </w:rPr>
        <w:br/>
        <w:t>(Dz. U. z 2021 r. poz. 182</w:t>
      </w:r>
      <w:r w:rsidR="00C704D8">
        <w:rPr>
          <w:rFonts w:eastAsia="Calibri"/>
        </w:rPr>
        <w:t xml:space="preserve"> i 904</w:t>
      </w:r>
      <w:r w:rsidRPr="00117FC4">
        <w:rPr>
          <w:rFonts w:eastAsia="Calibri"/>
        </w:rPr>
        <w:t>), zwanej dalej „</w:t>
      </w:r>
      <w:r w:rsidRPr="00117FC4">
        <w:t xml:space="preserve">ustawą o PROW 2014–2020”, ma na celu w </w:t>
      </w:r>
      <w:r w:rsidR="00CA048C">
        <w:t> </w:t>
      </w:r>
      <w:r w:rsidRPr="00117FC4">
        <w:t xml:space="preserve">szczególności zapewnienie podstaw prawnych umożliwiających wprowadzenie w ramach </w:t>
      </w:r>
      <w:r w:rsidRPr="00117FC4">
        <w:lastRenderedPageBreak/>
        <w:t>Programu Rozwoju Obszarów Wiejskich na lata 2014–2020 (PROW 2014–2020) rozwiązań przewidzianych w przepisach rozporządzenia przejściowego.</w:t>
      </w:r>
    </w:p>
    <w:p w14:paraId="5C0187B2" w14:textId="37E822F9" w:rsidR="004644C1" w:rsidRPr="00117FC4" w:rsidRDefault="004644C1" w:rsidP="005511F4">
      <w:pPr>
        <w:widowControl/>
        <w:suppressAutoHyphens/>
        <w:autoSpaceDE/>
        <w:autoSpaceDN/>
        <w:adjustRightInd/>
        <w:spacing w:before="120"/>
        <w:jc w:val="both"/>
      </w:pPr>
      <w:r w:rsidRPr="00117FC4">
        <w:t xml:space="preserve">W art. </w:t>
      </w:r>
      <w:r w:rsidR="008D3F26">
        <w:t>5</w:t>
      </w:r>
      <w:r w:rsidR="005511F4" w:rsidRPr="00117FC4">
        <w:t xml:space="preserve"> </w:t>
      </w:r>
      <w:r w:rsidRPr="00117FC4">
        <w:t xml:space="preserve">pkt 1 </w:t>
      </w:r>
      <w:r w:rsidRPr="00117FC4">
        <w:rPr>
          <w:rFonts w:eastAsia="Calibri" w:cs="Times New Roman"/>
          <w:bCs/>
          <w:szCs w:val="24"/>
        </w:rPr>
        <w:t>zaproponowano uwzględnienie w przepisach</w:t>
      </w:r>
      <w:r w:rsidRPr="00117FC4">
        <w:rPr>
          <w:rFonts w:eastAsia="Calibri"/>
        </w:rPr>
        <w:t xml:space="preserve"> </w:t>
      </w:r>
      <w:r w:rsidRPr="00117FC4">
        <w:t>ustawy o PROW 2014–2020 nowego działania „Zarządzanie ryzykiem”. Jego uruchomienie w ramach PROW 2014–2020 pozwoli na ubezpieczenie przez rolników drobiu od ryzyka wystąpienia salmonelli, a tym samym zapewni im pozyskanie dochodów z produkcji rolniczej i jej dalsze kontynuowanie. Obecnie znaczna część producentów drobiu nie posiada ubezpieczenia od tej choroby, a</w:t>
      </w:r>
      <w:r w:rsidR="002C7B7F">
        <w:t> </w:t>
      </w:r>
      <w:r w:rsidRPr="00117FC4">
        <w:t xml:space="preserve"> wprowadzenie możliwości refundacji im części składki powinno przyczynić się do ich zachęcenia tym rodzajem ubezpieczeń. Zgodnie z obecnie obowiązującym w Polsce, na</w:t>
      </w:r>
      <w:r w:rsidR="002C7B7F">
        <w:t> </w:t>
      </w:r>
      <w:r w:rsidRPr="00117FC4">
        <w:t xml:space="preserve"> podstawie ustawy z dnia 7 lipca 2005 r. o ubezpieczeniach upraw rolnych i zwierząt gospodarskich (Dz. U. z 2019 r. poz. 477), systemem ubezpieczeń możliwe jest stosowanie dopłat z budżetu państwa do składek ubezpieczenia zwierząt w wysokości 65% składki w</w:t>
      </w:r>
      <w:r w:rsidR="002C7B7F">
        <w:t> </w:t>
      </w:r>
      <w:r w:rsidRPr="00117FC4">
        <w:t xml:space="preserve"> przypadku ubezpieczenia zwierząt gospodarskich (bydła, koni, owiec, kóz, drobiu lub świń) od ryzyka wystąpienia szkód spowodowanych przez huragan, powódź, deszcz nawalny, grad, piorun, obsunięcie się ziemi, lawinę oraz w wyniku uboju z konieczności. Z prognozy Komisji Europejskiej dotyczącej rozwoju unijnego rynku drobiu wynika, że w 2020 roku produkcja i</w:t>
      </w:r>
      <w:r w:rsidR="002C7B7F">
        <w:t> </w:t>
      </w:r>
      <w:r w:rsidRPr="00117FC4">
        <w:t xml:space="preserve"> konsumpcja w UE wzrośnie o 1%, a eksport i import obniżą się odpowiednio o 6 i 12%. gorsze uwarunkowania unijnego eksportu stwarzają również mniej korzystne warunki dla polskich eksporterów. Polska jest największym producentem drobiu w Europie W 2019 r. w</w:t>
      </w:r>
      <w:r w:rsidR="002C7B7F">
        <w:t> </w:t>
      </w:r>
      <w:r w:rsidRPr="00117FC4">
        <w:t xml:space="preserve"> Polsce wyprodukowano 2593,45 ton mięsa drobiowego, z czego ponad połowa produkowana jest na eksport. Kraje UE są w 73% odbiorcami polskiego drobiu. Hamująco na</w:t>
      </w:r>
      <w:r w:rsidR="002C7B7F">
        <w:t> </w:t>
      </w:r>
      <w:r w:rsidRPr="00117FC4">
        <w:t xml:space="preserve"> poziom sprzedaży mogą oddziaływać niektóre ograniczenia związane z pandemią COVID-19 oraz wciąż obowiązujące niektóre ograniczenia w imporcie z Polski związane z grypą ptaków (HPAI). Dlatego niezbędnym jest wprowadzenie odpowiedniego mechanizmu wspierającego producentów drobiu i odpowiednie jego unormowanie w pr</w:t>
      </w:r>
      <w:r w:rsidR="00F26B30" w:rsidRPr="00117FC4">
        <w:t xml:space="preserve">zepisach prawa. Nowe działanie </w:t>
      </w:r>
      <w:r w:rsidRPr="00117FC4">
        <w:t xml:space="preserve">uwzględniono również odpowiednio w art. </w:t>
      </w:r>
      <w:r w:rsidR="008D3F26">
        <w:t>5</w:t>
      </w:r>
      <w:r w:rsidR="005511F4" w:rsidRPr="00117FC4">
        <w:t xml:space="preserve"> </w:t>
      </w:r>
      <w:r w:rsidRPr="00117FC4">
        <w:t>pkt 5</w:t>
      </w:r>
      <w:r w:rsidR="00F51D60">
        <w:t>, 6</w:t>
      </w:r>
      <w:r w:rsidR="00320DF3" w:rsidRPr="00117FC4">
        <w:t xml:space="preserve"> </w:t>
      </w:r>
      <w:r w:rsidRPr="00117FC4">
        <w:t xml:space="preserve">i </w:t>
      </w:r>
      <w:r w:rsidR="00F51D60">
        <w:t>9</w:t>
      </w:r>
      <w:r w:rsidRPr="00117FC4">
        <w:t>.</w:t>
      </w:r>
    </w:p>
    <w:p w14:paraId="41BF9CE4" w14:textId="0EFC168C" w:rsidR="004644C1" w:rsidRPr="00117FC4" w:rsidRDefault="004644C1" w:rsidP="002C7B7F">
      <w:pPr>
        <w:widowControl/>
        <w:suppressAutoHyphens/>
        <w:autoSpaceDE/>
        <w:autoSpaceDN/>
        <w:adjustRightInd/>
        <w:spacing w:before="120"/>
        <w:jc w:val="both"/>
        <w:rPr>
          <w:rFonts w:cs="Times New Roman"/>
        </w:rPr>
      </w:pPr>
      <w:r w:rsidRPr="00117FC4">
        <w:t xml:space="preserve">Zmiany zaproponowane w art. </w:t>
      </w:r>
      <w:r w:rsidR="008D3F26">
        <w:t>5</w:t>
      </w:r>
      <w:r w:rsidR="00320DF3" w:rsidRPr="00117FC4">
        <w:t xml:space="preserve"> </w:t>
      </w:r>
      <w:r w:rsidRPr="00117FC4">
        <w:t xml:space="preserve">pkt 2 </w:t>
      </w:r>
      <w:r w:rsidRPr="00117FC4">
        <w:rPr>
          <w:rFonts w:cs="Times New Roman"/>
        </w:rPr>
        <w:t xml:space="preserve">są konieczne, ponieważ obecnie obowiązujące przepisy pozwalają na wykonywanie wyłącznie badań gleby. To znacznie zawęża możliwość rozpoznania innych elementów środowiska rolniczego. Natomiast system monitorowania </w:t>
      </w:r>
      <w:r w:rsidRPr="00117FC4">
        <w:rPr>
          <w:rFonts w:cs="Times New Roman"/>
        </w:rPr>
        <w:br/>
        <w:t>i ewaluacji, o którym jest mowa w art. 68 rozporz</w:t>
      </w:r>
      <w:r w:rsidRPr="00117FC4">
        <w:rPr>
          <w:rFonts w:cs="Times New Roman" w:hint="eastAsia"/>
        </w:rPr>
        <w:t>ą</w:t>
      </w:r>
      <w:r w:rsidRPr="00117FC4">
        <w:rPr>
          <w:rFonts w:cs="Times New Roman"/>
        </w:rPr>
        <w:t>dzenia (UE) nr 1305/2013</w:t>
      </w:r>
      <w:r w:rsidR="00F73DB2">
        <w:rPr>
          <w:rFonts w:cs="Times New Roman"/>
        </w:rPr>
        <w:t>,</w:t>
      </w:r>
      <w:r w:rsidRPr="00117FC4">
        <w:rPr>
          <w:rFonts w:cs="Times New Roman"/>
        </w:rPr>
        <w:t xml:space="preserve"> ma na celu ocenę postępów i osiągnięć w dziedzinie polityki rozwoju obszarów wiejskich oraz ocenę oddziaływania, efektywności, skuteczności i znaczenia interwencji z zakresu polityki rozwoju obszarów wiejskich oraz przyczynianie się do lepszego ukierunkowania wsparcia na rzecz </w:t>
      </w:r>
      <w:r w:rsidRPr="00117FC4">
        <w:rPr>
          <w:rFonts w:cs="Times New Roman"/>
        </w:rPr>
        <w:lastRenderedPageBreak/>
        <w:t xml:space="preserve">rozwoju obszarów wiejskich. Zatem art. </w:t>
      </w:r>
      <w:r w:rsidR="008D3F26">
        <w:rPr>
          <w:rFonts w:cs="Times New Roman"/>
        </w:rPr>
        <w:t>4</w:t>
      </w:r>
      <w:r w:rsidRPr="00117FC4">
        <w:rPr>
          <w:rFonts w:cs="Times New Roman"/>
        </w:rPr>
        <w:t xml:space="preserve"> ust. 6</w:t>
      </w:r>
      <w:r w:rsidR="00320DF3">
        <w:rPr>
          <w:rFonts w:cs="Times New Roman"/>
        </w:rPr>
        <w:t>–</w:t>
      </w:r>
      <w:r w:rsidRPr="00117FC4">
        <w:rPr>
          <w:rFonts w:cs="Times New Roman"/>
        </w:rPr>
        <w:t xml:space="preserve">8 </w:t>
      </w:r>
      <w:r w:rsidR="00DF2A76" w:rsidRPr="00117FC4">
        <w:t>ustawy o PROW 2014–2020</w:t>
      </w:r>
      <w:r w:rsidR="00DF2A76">
        <w:t xml:space="preserve"> </w:t>
      </w:r>
      <w:r w:rsidRPr="00117FC4">
        <w:rPr>
          <w:rFonts w:cs="Times New Roman"/>
        </w:rPr>
        <w:t xml:space="preserve">nie powinien ograniczać się do jednego elementu agroekosystemu, co mogłoby utrudniać możliwość interpretacji wyników i wyjaśniania mechanizmów, a tym samym podejmowania skuteczniejszych działań doskonalących. W związku z tym należałoby rozszerzyć przedmiotowe przepisy poprzez </w:t>
      </w:r>
      <w:r w:rsidR="00FC2F76" w:rsidRPr="00117FC4">
        <w:rPr>
          <w:rFonts w:cs="Times New Roman"/>
        </w:rPr>
        <w:t>uwzględnienie</w:t>
      </w:r>
      <w:r w:rsidRPr="00117FC4">
        <w:rPr>
          <w:rFonts w:cs="Times New Roman"/>
        </w:rPr>
        <w:t xml:space="preserve"> dokonywania przez stacje chemiczno-rolnicze szerszego zakresu badań agrochemicznych (w tym pozostałych elementów agroekosystemu oraz badania składu nawozów i innych środków stosowanych w rolnictwie).</w:t>
      </w:r>
    </w:p>
    <w:p w14:paraId="6EF2BFE0" w14:textId="77F9C2CF" w:rsidR="004644C1" w:rsidRPr="00117FC4" w:rsidRDefault="004644C1" w:rsidP="002C7B7F">
      <w:pPr>
        <w:widowControl/>
        <w:suppressAutoHyphens/>
        <w:autoSpaceDE/>
        <w:autoSpaceDN/>
        <w:adjustRightInd/>
        <w:spacing w:before="120"/>
        <w:jc w:val="both"/>
      </w:pPr>
      <w:r w:rsidRPr="00117FC4">
        <w:t xml:space="preserve">Zmiany zaproponowane w art. </w:t>
      </w:r>
      <w:r w:rsidR="008D3F26">
        <w:t>5</w:t>
      </w:r>
      <w:r w:rsidR="00F51D60" w:rsidRPr="00117FC4">
        <w:t xml:space="preserve"> </w:t>
      </w:r>
      <w:r w:rsidRPr="00117FC4">
        <w:t xml:space="preserve">pkt 3 i </w:t>
      </w:r>
      <w:r w:rsidR="00F51D60">
        <w:t>7</w:t>
      </w:r>
      <w:r w:rsidR="00320DF3" w:rsidRPr="00117FC4">
        <w:t xml:space="preserve"> </w:t>
      </w:r>
      <w:r w:rsidRPr="00117FC4">
        <w:t xml:space="preserve">związane są z uwzględnieniem w ramach </w:t>
      </w:r>
      <w:r w:rsidRPr="00117FC4">
        <w:rPr>
          <w:rFonts w:eastAsia="Calibri"/>
        </w:rPr>
        <w:t>poddziałania, o którym mowa w </w:t>
      </w:r>
      <w:hyperlink r:id="rId8" w:anchor="mip42304669" w:history="1">
        <w:r w:rsidRPr="00117FC4">
          <w:t>art. 3 ust. 1 pkt 4 lit. c</w:t>
        </w:r>
      </w:hyperlink>
      <w:r w:rsidRPr="00117FC4">
        <w:t xml:space="preserve"> ustawy o PROW 2014–2020, nowego obszaru wsparcia, dla którego w obecnie procedowanej zmianie programu przewidziano nowego beneficjenta</w:t>
      </w:r>
      <w:r w:rsidR="00612C46">
        <w:t>,</w:t>
      </w:r>
      <w:r w:rsidRPr="00117FC4">
        <w:t xml:space="preserve"> tj. Państwowe Gospodarstwo Wodne Wody Polskie (PGW WP). Niezbędne jest doprecyzowanie, że ujęte w </w:t>
      </w:r>
      <w:r w:rsidRPr="00117FC4">
        <w:rPr>
          <w:rFonts w:eastAsia="Calibri"/>
        </w:rPr>
        <w:t>art. 14 w ust. 2 oraz art. 34 ust. 4 rozwiązania szczegółowe dotyczące beneficjenta poddziałania, o którym mowa w </w:t>
      </w:r>
      <w:hyperlink r:id="rId9" w:anchor="mip42304669" w:history="1">
        <w:r w:rsidRPr="00117FC4">
          <w:t>art. 3 ust. 1 pkt 4 lit. c</w:t>
        </w:r>
      </w:hyperlink>
      <w:r w:rsidRPr="00117FC4">
        <w:t xml:space="preserve"> ustawy o PROW 2014–2020, dotyczą tylko beneficjenta jednego obszaru wsparcia w ramach tego poddziałania. Jednocześnie z uwagi na charakter nowego beneficjenta PGW WP niezbędne jest doprecyzowanie w </w:t>
      </w:r>
      <w:r w:rsidRPr="00117FC4">
        <w:rPr>
          <w:rFonts w:eastAsia="Calibri"/>
        </w:rPr>
        <w:t>art. 34 ust. 3, iż właściwość miejscowa organu związaną z przyznawaniem, wypłatą i zwrotem pomocy ustala się według miejsca realizacji operacji. Podkreślić bowiem należy, że przewiduje się, iż realizacja operacji będzie odbywał się na terenie całego kraju. Zatem takie podejście będzie skutkowało równomiernym obciążeniem wszystkich samorządów województw w odróżnieniu do sytuacji, gdyby właściwość miejscowa organu ustalana była w oparciu o siedzibę beneficjenta. Wówczas spowodowałoby to nadmierne obciążenie Samorządu Województwa Mazowieckiego.</w:t>
      </w:r>
    </w:p>
    <w:p w14:paraId="71B7E789" w14:textId="43B38A1E" w:rsidR="004644C1" w:rsidRPr="00117FC4" w:rsidRDefault="004644C1" w:rsidP="002C7B7F">
      <w:pPr>
        <w:widowControl/>
        <w:suppressAutoHyphens/>
        <w:autoSpaceDE/>
        <w:autoSpaceDN/>
        <w:adjustRightInd/>
        <w:spacing w:before="120"/>
        <w:jc w:val="both"/>
      </w:pPr>
      <w:r w:rsidRPr="00117FC4">
        <w:t xml:space="preserve">Dodatkowo w projektowanej ustawie, w art. </w:t>
      </w:r>
      <w:r w:rsidR="008D3F26">
        <w:t>5</w:t>
      </w:r>
      <w:r w:rsidR="00771CA8" w:rsidRPr="00117FC4">
        <w:t xml:space="preserve"> </w:t>
      </w:r>
      <w:r w:rsidRPr="00117FC4">
        <w:t xml:space="preserve">pkt 4 </w:t>
      </w:r>
      <w:r w:rsidRPr="00117FC4">
        <w:rPr>
          <w:rFonts w:eastAsia="Calibri" w:cs="Times New Roman"/>
          <w:bCs/>
          <w:szCs w:val="24"/>
        </w:rPr>
        <w:t xml:space="preserve">zaproponowano mechanizm nadkontraktacji w zakresie limitów określanych w </w:t>
      </w:r>
      <w:r w:rsidRPr="00117FC4">
        <w:t>rozporządzeniu Ministra Rolnictwa i</w:t>
      </w:r>
      <w:r w:rsidR="002C7B7F">
        <w:t> </w:t>
      </w:r>
      <w:r w:rsidRPr="00117FC4">
        <w:t xml:space="preserve"> Rozwoju wsi w sprawie wysokości limitów środków dostępnych w poszczególnych województwach lub latach w ramach określonych działań lub poddziałań Programu Rozwoju Obszarów Wiejskich na lata 2014–2020. </w:t>
      </w:r>
    </w:p>
    <w:p w14:paraId="373A7A04" w14:textId="77777777" w:rsidR="004644C1" w:rsidRPr="00117FC4" w:rsidRDefault="004644C1" w:rsidP="00771CA8">
      <w:pPr>
        <w:spacing w:before="120"/>
        <w:jc w:val="both"/>
        <w:rPr>
          <w:rFonts w:eastAsiaTheme="minorHAnsi" w:cs="Calibri"/>
        </w:rPr>
      </w:pPr>
      <w:r w:rsidRPr="00117FC4">
        <w:t xml:space="preserve">Na obecnym etapie realizacji PROW 2014–2020 propozycja nadkontraktacji w zakresie limitów określanych w rozporządzeniu ma na celu „elastyczne” reagowanie </w:t>
      </w:r>
      <w:r w:rsidRPr="00117FC4">
        <w:br/>
        <w:t>i wykorzystanie  dostępnych środków,  tj. 100 % alokacji w ramach wszystkich działań PROW 2014–2020.</w:t>
      </w:r>
    </w:p>
    <w:p w14:paraId="5967C00C" w14:textId="77777777" w:rsidR="004644C1" w:rsidRPr="00117FC4" w:rsidRDefault="004644C1" w:rsidP="00771CA8">
      <w:pPr>
        <w:spacing w:before="120"/>
        <w:jc w:val="both"/>
      </w:pPr>
      <w:r w:rsidRPr="00117FC4">
        <w:t>Zgodnie z art. 18 ust. 1 ustawy o PROW 2014–2020, minister może wydać rozporządzenie o</w:t>
      </w:r>
      <w:r w:rsidR="002C7B7F">
        <w:t> </w:t>
      </w:r>
      <w:r w:rsidRPr="00117FC4">
        <w:t xml:space="preserve"> limitach i określić w nim limity w ramach okre</w:t>
      </w:r>
      <w:r w:rsidRPr="00117FC4">
        <w:rPr>
          <w:rFonts w:hint="eastAsia"/>
        </w:rPr>
        <w:t>ś</w:t>
      </w:r>
      <w:r w:rsidRPr="00117FC4">
        <w:t>lonych dzia</w:t>
      </w:r>
      <w:r w:rsidRPr="00117FC4">
        <w:rPr>
          <w:rFonts w:hint="eastAsia"/>
        </w:rPr>
        <w:t>ł</w:t>
      </w:r>
      <w:r w:rsidRPr="00117FC4">
        <w:t>a</w:t>
      </w:r>
      <w:r w:rsidRPr="00117FC4">
        <w:rPr>
          <w:rFonts w:hint="eastAsia"/>
        </w:rPr>
        <w:t>ń</w:t>
      </w:r>
      <w:r w:rsidRPr="00117FC4">
        <w:t xml:space="preserve"> lub poddzia</w:t>
      </w:r>
      <w:r w:rsidRPr="00117FC4">
        <w:rPr>
          <w:rFonts w:hint="eastAsia"/>
        </w:rPr>
        <w:t>ł</w:t>
      </w:r>
      <w:r w:rsidRPr="00117FC4">
        <w:t>a</w:t>
      </w:r>
      <w:r w:rsidRPr="00117FC4">
        <w:rPr>
          <w:rFonts w:hint="eastAsia"/>
        </w:rPr>
        <w:t>ń</w:t>
      </w:r>
      <w:r w:rsidRPr="00117FC4">
        <w:rPr>
          <w:rFonts w:ascii="TimesNewRoman" w:eastAsia="TimesNewRoman" w:hAnsi="Times" w:cs="TimesNewRoman"/>
          <w:sz w:val="20"/>
        </w:rPr>
        <w:t xml:space="preserve"> </w:t>
      </w:r>
      <w:r w:rsidRPr="00117FC4">
        <w:t xml:space="preserve">PROW </w:t>
      </w:r>
      <w:r w:rsidRPr="00117FC4">
        <w:lastRenderedPageBreak/>
        <w:t>2014–</w:t>
      </w:r>
      <w:r w:rsidR="008B2A2A">
        <w:t> </w:t>
      </w:r>
      <w:r w:rsidRPr="00117FC4">
        <w:t>2020. Dla dzia</w:t>
      </w:r>
      <w:r w:rsidRPr="00117FC4">
        <w:rPr>
          <w:rFonts w:hint="eastAsia"/>
        </w:rPr>
        <w:t>ł</w:t>
      </w:r>
      <w:r w:rsidRPr="00117FC4">
        <w:t>a</w:t>
      </w:r>
      <w:r w:rsidRPr="00117FC4">
        <w:rPr>
          <w:rFonts w:hint="eastAsia"/>
        </w:rPr>
        <w:t>ń</w:t>
      </w:r>
      <w:r w:rsidRPr="00117FC4">
        <w:t xml:space="preserve"> lub poddzia</w:t>
      </w:r>
      <w:r w:rsidRPr="00117FC4">
        <w:rPr>
          <w:rFonts w:hint="eastAsia"/>
        </w:rPr>
        <w:t>ł</w:t>
      </w:r>
      <w:r w:rsidRPr="00117FC4">
        <w:t>a</w:t>
      </w:r>
      <w:r w:rsidRPr="00117FC4">
        <w:rPr>
          <w:rFonts w:hint="eastAsia"/>
        </w:rPr>
        <w:t>ń</w:t>
      </w:r>
      <w:r w:rsidRPr="00117FC4">
        <w:t>, dla których nie określa się limitów w przedmiotowym, fakultatywnym rozporządzeniu, pomoc jest przyznawana bezpośrednio do wysokości limitu, o którym mowa w art. 17 ust.1 ustawy o PROW 2014–2020. Dlatego skoro zgodnie z  art. 17 ust.</w:t>
      </w:r>
      <w:r w:rsidR="002C7B7F">
        <w:t> </w:t>
      </w:r>
      <w:r w:rsidRPr="00117FC4">
        <w:t xml:space="preserve"> 2  ustawy o PROW 2014–2020 minister może, w porozumieniu z ministrem </w:t>
      </w:r>
      <w:r w:rsidR="00595DE1">
        <w:t xml:space="preserve">właściwym </w:t>
      </w:r>
      <w:r w:rsidRPr="00117FC4">
        <w:t>do spraw finansów</w:t>
      </w:r>
      <w:r w:rsidR="00595DE1">
        <w:t xml:space="preserve"> publicznych</w:t>
      </w:r>
      <w:r w:rsidRPr="00117FC4">
        <w:t xml:space="preserve">, wyrazić zgodę na przyznanie pomocy przekraczającej wysokość limitu z programu, do której będzie przyznawana pomoc, to niejako przez analogię,  zgoda na przyznanie pomocy ponad limit określany w rozporządzeniu o limitach umożliwi przyznawanie pomocy do określonej wysokości przekraczającej wysokość limitu określonej w tym rozporządzeniu. </w:t>
      </w:r>
    </w:p>
    <w:p w14:paraId="7C3F68F8" w14:textId="77777777" w:rsidR="004644C1" w:rsidRPr="00117FC4" w:rsidRDefault="004644C1" w:rsidP="004644C1">
      <w:pPr>
        <w:jc w:val="both"/>
      </w:pPr>
      <w:r w:rsidRPr="00117FC4">
        <w:t xml:space="preserve">Jednocześnie, w celu doprecyzowania, należy zauważyć, że wyrażenie zgodny </w:t>
      </w:r>
      <w:r w:rsidRPr="00117FC4">
        <w:br/>
        <w:t xml:space="preserve">na nadkontraktację na poziomie limitów określonych w rozporządzeniu nie zawsze będzie wiązała się z potrzebą skorzystania z  nadkontraktacji na poziomie limitu środków na całe  działanie. </w:t>
      </w:r>
    </w:p>
    <w:p w14:paraId="27AADF6A" w14:textId="77777777" w:rsidR="004644C1" w:rsidRPr="00117FC4" w:rsidRDefault="004644C1" w:rsidP="00771CA8">
      <w:pPr>
        <w:spacing w:before="120"/>
        <w:jc w:val="both"/>
      </w:pPr>
      <w:r w:rsidRPr="00117FC4">
        <w:t>Zgodnie z art. 23 rozporządzenia wykonawczego Komisji (UE) nr 908/2014 z dnia 6 sierpnia 2014 r. ustanawiającego zasady dotyczące stosowania rozporządzenia Parlamentu Europejskiego i Rady (UE) nr 1306/2013 w odniesieniu do agencji płatniczych i innych organów, zarządzania finansami, rozliczania rachunków, przepisów dotyczących kontroli, zabezpieczeń (Dz. Urz. UE L 227 z 31.07.2014, str. 69, z późn. zm.) i  punktem 10(c) w części I załącznika I do rozporządzenia wykonawczego Komisji (UE) nr 808/2014 z dnia 17 lipca 2014 r. ustanawiającego zasady stosowania rozporządzenia Parlamentu Europejskiego i Rady (UE) nr 1305/2013 w sprawie wsparcia rozwoju obszarów wiejskich przez Europejski Fundusz Rolny na rzecz Rozwoju Obszarów Wiejskich (EFRROW) (Dz. Urz. UE L 227 z 31.07.2014, str. 18, z późn. zm.)  państwa członkowskie  rozliczają się  z KE na  poziomie limitu określonego dla działań w tabelach dotyczących planu finansowego Programu. Oznacza to, że</w:t>
      </w:r>
      <w:r w:rsidR="002C7B7F">
        <w:t> </w:t>
      </w:r>
      <w:r w:rsidRPr="00117FC4">
        <w:t xml:space="preserve"> przy rozliczaniu się z KE kluczowe jest nieprzekroczenie limitu określonego na poziomie działania niezależnie od prezentowanego podziału w  tabelach  dotyczących planu finansowego PROW 2014–2020. </w:t>
      </w:r>
    </w:p>
    <w:p w14:paraId="6149BFF2" w14:textId="77777777" w:rsidR="004644C1" w:rsidRPr="00117FC4" w:rsidRDefault="004644C1" w:rsidP="00771CA8">
      <w:pPr>
        <w:spacing w:before="120"/>
        <w:jc w:val="both"/>
      </w:pPr>
      <w:r w:rsidRPr="00117FC4">
        <w:t xml:space="preserve">Zatem występując do  </w:t>
      </w:r>
      <w:r w:rsidR="002C7B7F">
        <w:t>m</w:t>
      </w:r>
      <w:r w:rsidRPr="00117FC4">
        <w:t xml:space="preserve">inistra </w:t>
      </w:r>
      <w:r w:rsidR="002C7B7F">
        <w:t>właściwego do spraw f</w:t>
      </w:r>
      <w:r w:rsidRPr="00117FC4">
        <w:t xml:space="preserve">inansów </w:t>
      </w:r>
      <w:r w:rsidR="002C7B7F">
        <w:t xml:space="preserve">publicznych </w:t>
      </w:r>
      <w:r w:rsidRPr="00117FC4">
        <w:t>o uzgodnienie nadkontraktacji, na poziomie limitu określonego w rozporządzeniu (analogicznie jak na podstawie  art. 17 ust. 2 ustawy o PROW 2014–2020), to  argumenty/wyjaśnienia d</w:t>
      </w:r>
      <w:r w:rsidR="002C7B7F">
        <w:t>la</w:t>
      </w:r>
      <w:r w:rsidRPr="00117FC4">
        <w:t xml:space="preserve"> M</w:t>
      </w:r>
      <w:r w:rsidR="002C7B7F">
        <w:t xml:space="preserve">inisterstwa </w:t>
      </w:r>
      <w:r w:rsidRPr="00117FC4">
        <w:t>F</w:t>
      </w:r>
      <w:r w:rsidR="002C7B7F">
        <w:t>inansów</w:t>
      </w:r>
      <w:r w:rsidRPr="00117FC4">
        <w:t xml:space="preserve"> w zakresie nadkontraktacji  będą zawierały informację  o możliwości „skompensowania” takiego przekroczenia  w ramach niewykorzystanego limitu z podziałania lub typu operacji,  w ramach limitu określonego na działanie.</w:t>
      </w:r>
    </w:p>
    <w:p w14:paraId="655589F8" w14:textId="77777777" w:rsidR="00E057F8" w:rsidRPr="00117FC4" w:rsidRDefault="004644C1" w:rsidP="004644C1">
      <w:pPr>
        <w:jc w:val="both"/>
      </w:pPr>
      <w:r w:rsidRPr="00117FC4">
        <w:lastRenderedPageBreak/>
        <w:t xml:space="preserve">Zastosowanie ww. rozwiązania przyspieszy  proces przyznawania pomocy  </w:t>
      </w:r>
      <w:r w:rsidR="00120705" w:rsidRPr="00117FC4">
        <w:t>–</w:t>
      </w:r>
      <w:r w:rsidRPr="00117FC4">
        <w:t xml:space="preserve"> nie będzie  oczekiwania  na zmianę rozporządzenia o limitach </w:t>
      </w:r>
      <w:r w:rsidR="00120705" w:rsidRPr="00117FC4">
        <w:t>–</w:t>
      </w:r>
      <w:r w:rsidRPr="00117FC4">
        <w:t>  np. polegającego tylko  na</w:t>
      </w:r>
      <w:r w:rsidR="002C7B7F">
        <w:t> </w:t>
      </w:r>
      <w:r w:rsidRPr="00117FC4">
        <w:t xml:space="preserve"> pomniejszaniu jednego limitu kosztem drugiego w ramach limitu określonego dla działania w PROW 2014–2020. </w:t>
      </w:r>
    </w:p>
    <w:p w14:paraId="1D9ACDE1" w14:textId="6E49D163" w:rsidR="00E057F8" w:rsidRPr="00117FC4" w:rsidRDefault="00E057F8" w:rsidP="00771CA8">
      <w:pPr>
        <w:widowControl/>
        <w:autoSpaceDE/>
        <w:autoSpaceDN/>
        <w:adjustRightInd/>
        <w:spacing w:before="120"/>
        <w:jc w:val="both"/>
        <w:rPr>
          <w:rFonts w:eastAsia="Calibri" w:cs="Times New Roman"/>
          <w:szCs w:val="24"/>
          <w:lang w:eastAsia="en-US"/>
        </w:rPr>
      </w:pPr>
      <w:r w:rsidRPr="00117FC4">
        <w:rPr>
          <w:rFonts w:eastAsia="Calibri" w:cs="Times New Roman"/>
          <w:szCs w:val="24"/>
          <w:lang w:eastAsia="en-US"/>
        </w:rPr>
        <w:t xml:space="preserve">Zmiana proponowana w </w:t>
      </w:r>
      <w:r w:rsidR="001D6CDC" w:rsidRPr="00117FC4">
        <w:rPr>
          <w:rFonts w:eastAsia="Calibri" w:cs="Times New Roman"/>
          <w:szCs w:val="24"/>
          <w:lang w:eastAsia="en-US"/>
        </w:rPr>
        <w:t xml:space="preserve">art. </w:t>
      </w:r>
      <w:r w:rsidR="008D3F26">
        <w:rPr>
          <w:rFonts w:eastAsia="Calibri" w:cs="Times New Roman"/>
          <w:szCs w:val="24"/>
          <w:lang w:eastAsia="en-US"/>
        </w:rPr>
        <w:t>5</w:t>
      </w:r>
      <w:r w:rsidR="008D3F26" w:rsidRPr="00117FC4">
        <w:rPr>
          <w:rFonts w:eastAsia="Calibri" w:cs="Times New Roman"/>
          <w:szCs w:val="24"/>
          <w:lang w:eastAsia="en-US"/>
        </w:rPr>
        <w:t xml:space="preserve"> </w:t>
      </w:r>
      <w:r w:rsidRPr="00117FC4">
        <w:rPr>
          <w:rFonts w:eastAsia="Calibri" w:cs="Times New Roman"/>
          <w:szCs w:val="24"/>
          <w:lang w:eastAsia="en-US"/>
        </w:rPr>
        <w:t xml:space="preserve">pkt </w:t>
      </w:r>
      <w:r w:rsidR="00F51D60">
        <w:rPr>
          <w:rFonts w:eastAsia="Calibri" w:cs="Times New Roman"/>
          <w:szCs w:val="24"/>
          <w:lang w:eastAsia="en-US"/>
        </w:rPr>
        <w:t>8</w:t>
      </w:r>
      <w:r w:rsidR="00771CA8" w:rsidRPr="00117FC4">
        <w:rPr>
          <w:rFonts w:eastAsia="Calibri" w:cs="Times New Roman"/>
          <w:szCs w:val="24"/>
          <w:lang w:eastAsia="en-US"/>
        </w:rPr>
        <w:t xml:space="preserve"> </w:t>
      </w:r>
      <w:r w:rsidR="00D77AAA" w:rsidRPr="00117FC4">
        <w:rPr>
          <w:rFonts w:eastAsia="Calibri" w:cs="Times New Roman"/>
          <w:szCs w:val="24"/>
          <w:lang w:eastAsia="en-US"/>
        </w:rPr>
        <w:t xml:space="preserve">ma na celu zwolnienie </w:t>
      </w:r>
      <w:r w:rsidRPr="00117FC4">
        <w:rPr>
          <w:rFonts w:eastAsia="Calibri" w:cs="Times New Roman"/>
          <w:szCs w:val="24"/>
          <w:lang w:eastAsia="en-US"/>
        </w:rPr>
        <w:t>instytutu badawczego uczestniczącego w realizacji operacji</w:t>
      </w:r>
      <w:r w:rsidR="00814248" w:rsidRPr="00117FC4">
        <w:rPr>
          <w:rFonts w:eastAsia="Calibri" w:cs="Times New Roman"/>
          <w:szCs w:val="24"/>
          <w:lang w:eastAsia="en-US"/>
        </w:rPr>
        <w:t xml:space="preserve"> w ramach PROW 2014–</w:t>
      </w:r>
      <w:r w:rsidRPr="00117FC4">
        <w:rPr>
          <w:rFonts w:eastAsia="Calibri" w:cs="Times New Roman"/>
          <w:szCs w:val="24"/>
          <w:lang w:eastAsia="en-US"/>
        </w:rPr>
        <w:t xml:space="preserve">2020 </w:t>
      </w:r>
      <w:r w:rsidR="00D77AAA" w:rsidRPr="00117FC4">
        <w:rPr>
          <w:rFonts w:eastAsia="Calibri" w:cs="Times New Roman"/>
          <w:szCs w:val="24"/>
          <w:lang w:eastAsia="en-US"/>
        </w:rPr>
        <w:t>z obowiązku złożenia zabezpieczenia należytego wykonania zobowiązań określonych w umowie o przyznaniu pomocy w postaci weksla niezupełnego (</w:t>
      </w:r>
      <w:r w:rsidRPr="00117FC4">
        <w:rPr>
          <w:rFonts w:eastAsia="Calibri" w:cs="Times New Roman"/>
          <w:szCs w:val="24"/>
          <w:lang w:eastAsia="en-US"/>
        </w:rPr>
        <w:t>in blanco</w:t>
      </w:r>
      <w:r w:rsidR="00D77AAA" w:rsidRPr="00117FC4">
        <w:rPr>
          <w:rFonts w:eastAsia="Calibri" w:cs="Times New Roman"/>
          <w:szCs w:val="24"/>
          <w:lang w:eastAsia="en-US"/>
        </w:rPr>
        <w:t>) wraz z deklaracją wekslową</w:t>
      </w:r>
      <w:r w:rsidRPr="00117FC4">
        <w:rPr>
          <w:rFonts w:eastAsia="Calibri" w:cs="Times New Roman"/>
          <w:szCs w:val="24"/>
          <w:lang w:eastAsia="en-US"/>
        </w:rPr>
        <w:t xml:space="preserve">. Wprowadzenie tej zmiany ma istotne znaczenie dla zwiększenia zaangażowania instytutów badawczych w realizację działań „Transfer wiedzy i działalność informacyjna” „Usługi doradcze, usługi z zakresu zarządzania gospodarstwem rolnym i usługi z zakresu zastępstw”. W ramach poddziałania „Wsparcie dla projektów demonstracyjnych i działań informacyjnych” </w:t>
      </w:r>
      <w:r w:rsidR="00814248" w:rsidRPr="00117FC4">
        <w:rPr>
          <w:rFonts w:eastAsia="Calibri" w:cs="Times New Roman"/>
          <w:szCs w:val="24"/>
          <w:lang w:eastAsia="en-US"/>
        </w:rPr>
        <w:t xml:space="preserve">w ramach </w:t>
      </w:r>
      <w:r w:rsidRPr="00117FC4">
        <w:rPr>
          <w:rFonts w:eastAsia="Calibri" w:cs="Times New Roman"/>
          <w:szCs w:val="24"/>
          <w:lang w:eastAsia="en-US"/>
        </w:rPr>
        <w:t xml:space="preserve">działania „Transfer wiedzy i działalność informacyjna” przewidziano obowiązkowy udział pracownika naukowego w realizacji operacji obejmującej założenie i prowadzenie obiektów demonstracyjnych w gospodarstwach oraz przeprowadzenie demonstracji dla rolników w tych obiektach. </w:t>
      </w:r>
    </w:p>
    <w:p w14:paraId="56D901F6" w14:textId="77777777" w:rsidR="00E057F8" w:rsidRPr="00117FC4" w:rsidRDefault="00E057F8" w:rsidP="00E057F8">
      <w:pPr>
        <w:widowControl/>
        <w:autoSpaceDE/>
        <w:autoSpaceDN/>
        <w:adjustRightInd/>
        <w:jc w:val="both"/>
        <w:rPr>
          <w:rFonts w:eastAsia="Calibri" w:cs="Times New Roman"/>
          <w:szCs w:val="24"/>
          <w:lang w:eastAsia="en-US"/>
        </w:rPr>
      </w:pPr>
      <w:r w:rsidRPr="00117FC4">
        <w:rPr>
          <w:rFonts w:eastAsia="Calibri" w:cs="Times New Roman"/>
          <w:szCs w:val="24"/>
          <w:lang w:eastAsia="en-US"/>
        </w:rPr>
        <w:t xml:space="preserve">W przypadku poddziałania „Wsparcie dla szkolenia doradców” realizowanego w ramach </w:t>
      </w:r>
      <w:r w:rsidR="00814248" w:rsidRPr="00117FC4">
        <w:rPr>
          <w:rFonts w:eastAsia="Calibri" w:cs="Times New Roman"/>
          <w:szCs w:val="24"/>
          <w:lang w:eastAsia="en-US"/>
        </w:rPr>
        <w:t xml:space="preserve">działania </w:t>
      </w:r>
      <w:r w:rsidRPr="00117FC4">
        <w:rPr>
          <w:rFonts w:eastAsia="Calibri" w:cs="Times New Roman"/>
          <w:szCs w:val="24"/>
          <w:lang w:eastAsia="en-US"/>
        </w:rPr>
        <w:t>„Usługi doradcze, usługi z zakresu zarządzania gospodarstwem rolnym i usługi z</w:t>
      </w:r>
      <w:r w:rsidR="002C7B7F">
        <w:rPr>
          <w:rFonts w:eastAsia="Calibri" w:cs="Times New Roman"/>
          <w:szCs w:val="24"/>
          <w:lang w:eastAsia="en-US"/>
        </w:rPr>
        <w:t> </w:t>
      </w:r>
      <w:r w:rsidRPr="00117FC4">
        <w:rPr>
          <w:rFonts w:eastAsia="Calibri" w:cs="Times New Roman"/>
          <w:szCs w:val="24"/>
          <w:lang w:eastAsia="en-US"/>
        </w:rPr>
        <w:t xml:space="preserve"> zakresu zastępstw”, przewidziano wsparcie szkoleń dla doradców, w szczególności w formie studiów podyplomowych. Wykonawcami działań szkoleniowych mogą być w szczególności instytuty badawcze.</w:t>
      </w:r>
    </w:p>
    <w:p w14:paraId="5E2D104F" w14:textId="77777777" w:rsidR="00E057F8" w:rsidRPr="00117FC4" w:rsidRDefault="00E057F8" w:rsidP="00E057F8">
      <w:pPr>
        <w:widowControl/>
        <w:autoSpaceDE/>
        <w:autoSpaceDN/>
        <w:adjustRightInd/>
        <w:jc w:val="both"/>
        <w:rPr>
          <w:rFonts w:eastAsia="Calibri" w:cs="Times New Roman"/>
          <w:szCs w:val="24"/>
          <w:lang w:eastAsia="en-US"/>
        </w:rPr>
      </w:pPr>
      <w:r w:rsidRPr="00117FC4">
        <w:rPr>
          <w:rFonts w:eastAsia="Calibri" w:cs="Times New Roman"/>
          <w:szCs w:val="24"/>
          <w:lang w:eastAsia="en-US"/>
        </w:rPr>
        <w:t>Mając na uwadze, że przedstawione powyżej poddziałania mają na celu podnoszenie kompetencji odpowiednio rolników i doradców rolniczych, istotnym dla powodzenia i efektów realizacji operacji jest zaangażowanie instytutów badawczych, których działalność jest w</w:t>
      </w:r>
      <w:r w:rsidR="002C7B7F">
        <w:rPr>
          <w:rFonts w:eastAsia="Calibri" w:cs="Times New Roman"/>
          <w:szCs w:val="24"/>
          <w:lang w:eastAsia="en-US"/>
        </w:rPr>
        <w:t> </w:t>
      </w:r>
      <w:r w:rsidRPr="00117FC4">
        <w:rPr>
          <w:rFonts w:eastAsia="Calibri" w:cs="Times New Roman"/>
          <w:szCs w:val="24"/>
          <w:lang w:eastAsia="en-US"/>
        </w:rPr>
        <w:t xml:space="preserve"> większości finansowana ze środków budżetu państwa.</w:t>
      </w:r>
    </w:p>
    <w:p w14:paraId="01D78DA8" w14:textId="77777777" w:rsidR="00E057F8" w:rsidRPr="00117FC4" w:rsidRDefault="00E057F8" w:rsidP="00E057F8">
      <w:pPr>
        <w:widowControl/>
        <w:autoSpaceDE/>
        <w:autoSpaceDN/>
        <w:adjustRightInd/>
        <w:jc w:val="both"/>
        <w:rPr>
          <w:rFonts w:eastAsia="Calibri" w:cs="Times New Roman"/>
          <w:szCs w:val="24"/>
          <w:lang w:eastAsia="en-US"/>
        </w:rPr>
      </w:pPr>
      <w:r w:rsidRPr="00117FC4">
        <w:rPr>
          <w:rFonts w:eastAsia="Calibri" w:cs="Times New Roman"/>
          <w:szCs w:val="24"/>
          <w:lang w:eastAsia="en-US"/>
        </w:rPr>
        <w:t>Proponowane rozwiązanie bazuje na wykorzystanym we wdrażaniu strategicznych  programów badań naukowych i prac rozwojowych (GOSPOSTRATEG, LIDER), realizowanych na</w:t>
      </w:r>
      <w:r w:rsidR="002C7B7F">
        <w:rPr>
          <w:rFonts w:eastAsia="Calibri" w:cs="Times New Roman"/>
          <w:szCs w:val="24"/>
          <w:lang w:eastAsia="en-US"/>
        </w:rPr>
        <w:t> </w:t>
      </w:r>
      <w:r w:rsidRPr="00117FC4">
        <w:rPr>
          <w:rFonts w:eastAsia="Calibri" w:cs="Times New Roman"/>
          <w:szCs w:val="24"/>
          <w:lang w:eastAsia="en-US"/>
        </w:rPr>
        <w:t xml:space="preserve"> podstawie ustawy z dnia 30 kwietnia 2010 r. o Narodowym Centrum Badań i Rozwoju (Dz. </w:t>
      </w:r>
      <w:r w:rsidR="002C7B7F">
        <w:rPr>
          <w:rFonts w:eastAsia="Calibri" w:cs="Times New Roman"/>
          <w:szCs w:val="24"/>
          <w:lang w:eastAsia="en-US"/>
        </w:rPr>
        <w:t> </w:t>
      </w:r>
      <w:r w:rsidRPr="00117FC4">
        <w:rPr>
          <w:rFonts w:eastAsia="Calibri" w:cs="Times New Roman"/>
          <w:szCs w:val="24"/>
          <w:lang w:eastAsia="en-US"/>
        </w:rPr>
        <w:t>U. z 2020 r. poz. 1861), w których przewidziano zwolnienie z obowiązku składania zabezpieczenia wykonania umowy, w szczególności w przypadku instytutów badawczych w</w:t>
      </w:r>
      <w:r w:rsidR="002C7B7F">
        <w:rPr>
          <w:rFonts w:eastAsia="Calibri" w:cs="Times New Roman"/>
          <w:szCs w:val="24"/>
          <w:lang w:eastAsia="en-US"/>
        </w:rPr>
        <w:t> </w:t>
      </w:r>
      <w:r w:rsidRPr="00117FC4">
        <w:rPr>
          <w:rFonts w:eastAsia="Calibri" w:cs="Times New Roman"/>
          <w:szCs w:val="24"/>
          <w:lang w:eastAsia="en-US"/>
        </w:rPr>
        <w:t xml:space="preserve"> rozumieniu ustawy z dnia 30 kwietnia 2010 r. o instytutach badawczych (Dz.</w:t>
      </w:r>
      <w:r w:rsidR="00DF7D7D" w:rsidRPr="00117FC4">
        <w:rPr>
          <w:rFonts w:eastAsia="Calibri" w:cs="Times New Roman"/>
          <w:szCs w:val="24"/>
          <w:lang w:eastAsia="en-US"/>
        </w:rPr>
        <w:t xml:space="preserve"> </w:t>
      </w:r>
      <w:r w:rsidRPr="00117FC4">
        <w:rPr>
          <w:rFonts w:eastAsia="Calibri" w:cs="Times New Roman"/>
          <w:szCs w:val="24"/>
          <w:lang w:eastAsia="en-US"/>
        </w:rPr>
        <w:t xml:space="preserve">U. z 2020 r. poz. 1383). </w:t>
      </w:r>
    </w:p>
    <w:p w14:paraId="4562092C" w14:textId="20F2B0F6" w:rsidR="004644C1" w:rsidRPr="00117FC4" w:rsidRDefault="004644C1" w:rsidP="00771CA8">
      <w:pPr>
        <w:widowControl/>
        <w:autoSpaceDE/>
        <w:autoSpaceDN/>
        <w:adjustRightInd/>
        <w:spacing w:before="120"/>
        <w:jc w:val="both"/>
        <w:rPr>
          <w:rFonts w:eastAsia="Calibri" w:cs="Times New Roman"/>
          <w:szCs w:val="24"/>
          <w:lang w:eastAsia="en-US"/>
        </w:rPr>
      </w:pPr>
      <w:r w:rsidRPr="00117FC4">
        <w:rPr>
          <w:rFonts w:eastAsia="Calibri" w:cs="Times New Roman"/>
          <w:szCs w:val="24"/>
          <w:lang w:eastAsia="en-US"/>
        </w:rPr>
        <w:lastRenderedPageBreak/>
        <w:t xml:space="preserve">Zmiany zaproponowane w art. </w:t>
      </w:r>
      <w:r w:rsidR="008D3F26">
        <w:rPr>
          <w:rFonts w:eastAsia="Calibri" w:cs="Times New Roman"/>
          <w:szCs w:val="24"/>
          <w:lang w:eastAsia="en-US"/>
        </w:rPr>
        <w:t>5</w:t>
      </w:r>
      <w:r w:rsidR="00771CA8" w:rsidRPr="00117FC4">
        <w:rPr>
          <w:rFonts w:eastAsia="Calibri" w:cs="Times New Roman"/>
          <w:szCs w:val="24"/>
          <w:lang w:eastAsia="en-US"/>
        </w:rPr>
        <w:t xml:space="preserve"> </w:t>
      </w:r>
      <w:r w:rsidRPr="00117FC4">
        <w:rPr>
          <w:rFonts w:eastAsia="Calibri" w:cs="Times New Roman"/>
          <w:szCs w:val="24"/>
          <w:lang w:eastAsia="en-US"/>
        </w:rPr>
        <w:t xml:space="preserve">pkt </w:t>
      </w:r>
      <w:r w:rsidR="00F51D60">
        <w:rPr>
          <w:rFonts w:eastAsia="Calibri" w:cs="Times New Roman"/>
          <w:szCs w:val="24"/>
          <w:lang w:eastAsia="en-US"/>
        </w:rPr>
        <w:t xml:space="preserve">10–15 </w:t>
      </w:r>
      <w:r w:rsidRPr="00117FC4">
        <w:rPr>
          <w:rFonts w:eastAsia="Calibri" w:cs="Times New Roman"/>
          <w:szCs w:val="24"/>
          <w:lang w:eastAsia="en-US"/>
        </w:rPr>
        <w:t xml:space="preserve">dotyczą rozdziału 8 ustawy o PROW 2014–2020 „Krajowa Sieć Obszarów Wiejskich”. Można je podzielić na dwa rodzaje: 1) dotyczące opracowania dwuletniego planu operacyjnego (pkt </w:t>
      </w:r>
      <w:r w:rsidR="000D04FB" w:rsidRPr="00117FC4">
        <w:rPr>
          <w:rFonts w:eastAsia="Calibri" w:cs="Times New Roman"/>
          <w:szCs w:val="24"/>
          <w:lang w:eastAsia="en-US"/>
        </w:rPr>
        <w:t>1</w:t>
      </w:r>
      <w:r w:rsidR="00F51D60">
        <w:rPr>
          <w:rFonts w:eastAsia="Calibri" w:cs="Times New Roman"/>
          <w:szCs w:val="24"/>
          <w:lang w:eastAsia="en-US"/>
        </w:rPr>
        <w:t>0</w:t>
      </w:r>
      <w:r w:rsidRPr="00117FC4">
        <w:rPr>
          <w:rFonts w:eastAsia="Calibri" w:cs="Times New Roman"/>
          <w:szCs w:val="24"/>
          <w:lang w:eastAsia="en-US"/>
        </w:rPr>
        <w:t>) oraz 2) dotyczące konkursu dla partnerów Krajowej Sieci Obszarów Wiejskich, w skrócie „KSOW” (pkt 1</w:t>
      </w:r>
      <w:r w:rsidR="00F51D60">
        <w:rPr>
          <w:rFonts w:eastAsia="Calibri" w:cs="Times New Roman"/>
          <w:szCs w:val="24"/>
          <w:lang w:eastAsia="en-US"/>
        </w:rPr>
        <w:t>1</w:t>
      </w:r>
      <w:r w:rsidRPr="00117FC4">
        <w:rPr>
          <w:rFonts w:eastAsia="Calibri" w:cs="Times New Roman"/>
          <w:szCs w:val="24"/>
          <w:lang w:eastAsia="en-US"/>
        </w:rPr>
        <w:sym w:font="Symbol" w:char="F02D"/>
      </w:r>
      <w:r w:rsidRPr="00117FC4">
        <w:rPr>
          <w:rFonts w:eastAsia="Calibri" w:cs="Times New Roman"/>
          <w:szCs w:val="24"/>
          <w:lang w:eastAsia="en-US"/>
        </w:rPr>
        <w:t>1</w:t>
      </w:r>
      <w:r w:rsidR="00F51D60">
        <w:rPr>
          <w:rFonts w:eastAsia="Calibri" w:cs="Times New Roman"/>
          <w:szCs w:val="24"/>
          <w:lang w:eastAsia="en-US"/>
        </w:rPr>
        <w:t>5</w:t>
      </w:r>
      <w:r w:rsidRPr="00117FC4">
        <w:rPr>
          <w:rFonts w:eastAsia="Calibri" w:cs="Times New Roman"/>
          <w:szCs w:val="24"/>
          <w:lang w:eastAsia="en-US"/>
        </w:rPr>
        <w:t>). W pierwszym przypadku zmiana polega na określeniu wyjątku od zasady, zgodnie z którą, propozycje operacji do dwuletniego planu operacyjnego uprawnione podmioty zgłaszają jednostce centralnej. Zgodnie z projektowaną zmianą, w przypadku upoważnienia jednostki sektora finansów publicznych do pełnienia funkcji jednostki centralnej, propozycje operacji do planu komunikacyjnego, stanowiącego część dwuletniego planu operacyjnego, są zgłaszane instytucji zarządzającej. Zmiana ma na celu usprawnienie i skrócenie czasu na ocenę tych propozycji. Instytucja zarządzająca na mocy art. 55 ust. 5a pkt 1 ustawy o PROW 2014–2020 ocenia merytorycznie propozycje operacji zgłoszone do tego planu, w tym decyduje, które z nich w</w:t>
      </w:r>
      <w:r w:rsidR="002C7B7F">
        <w:rPr>
          <w:rFonts w:eastAsia="Calibri" w:cs="Times New Roman"/>
          <w:szCs w:val="24"/>
          <w:lang w:eastAsia="en-US"/>
        </w:rPr>
        <w:t> </w:t>
      </w:r>
      <w:r w:rsidRPr="00117FC4">
        <w:rPr>
          <w:rFonts w:eastAsia="Calibri" w:cs="Times New Roman"/>
          <w:szCs w:val="24"/>
          <w:lang w:eastAsia="en-US"/>
        </w:rPr>
        <w:t xml:space="preserve"> tym planie uwzględnić, a jednostka centralna dokonywała oceny tych propozycji od strony formalnej. W celu usprawnienia i skrócenia tego procesu, podjęto decyzję o przejęciu przez instytucję zarządzającą również oceny formalnej tych propozycji w zakresie dotyczącym planu komunikacyjnego. Tym samym zgłaszanie jednostce centralnej przez podmioty uprawnione propozycji operacji do planu komunikacyjnego stało się bezcelowe, a faktyczna rola jednostki centralnej sprowadza się do przekazania dalej, tj. do instytucji zarządzającej, tych propozycji do oceny.</w:t>
      </w:r>
    </w:p>
    <w:p w14:paraId="5D06BE18" w14:textId="14DF7C8B" w:rsidR="004644C1" w:rsidRPr="00117FC4" w:rsidRDefault="004644C1" w:rsidP="00771CA8">
      <w:pPr>
        <w:widowControl/>
        <w:spacing w:before="120"/>
        <w:jc w:val="both"/>
        <w:rPr>
          <w:rFonts w:eastAsia="Times New Roman"/>
          <w:b/>
          <w:bCs/>
          <w:szCs w:val="24"/>
        </w:rPr>
      </w:pPr>
      <w:r w:rsidRPr="00117FC4">
        <w:rPr>
          <w:rFonts w:eastAsia="Times New Roman"/>
          <w:szCs w:val="24"/>
        </w:rPr>
        <w:t xml:space="preserve">Zmiany dotyczące konkursu dla partnerów KSOW mają na celu usprawnienie trybu wyboru operacji partnerów KSOW i dostosowania przepisów do utrwalonej praktyki przebiegu oceny i wyboru tych operacji. Celem zmiany w art. </w:t>
      </w:r>
      <w:r w:rsidR="008D3F26">
        <w:rPr>
          <w:rFonts w:eastAsia="Times New Roman"/>
          <w:szCs w:val="24"/>
        </w:rPr>
        <w:t>5</w:t>
      </w:r>
      <w:r w:rsidR="00771CA8" w:rsidRPr="00117FC4">
        <w:rPr>
          <w:rFonts w:eastAsia="Times New Roman"/>
          <w:szCs w:val="24"/>
        </w:rPr>
        <w:t xml:space="preserve"> </w:t>
      </w:r>
      <w:r w:rsidRPr="00117FC4">
        <w:rPr>
          <w:rFonts w:eastAsia="Times New Roman"/>
          <w:szCs w:val="24"/>
        </w:rPr>
        <w:t xml:space="preserve">pkt </w:t>
      </w:r>
      <w:r w:rsidR="00771CA8" w:rsidRPr="00117FC4">
        <w:rPr>
          <w:rFonts w:eastAsia="Times New Roman"/>
          <w:szCs w:val="24"/>
        </w:rPr>
        <w:t>1</w:t>
      </w:r>
      <w:r w:rsidR="00F51D60">
        <w:rPr>
          <w:rFonts w:eastAsia="Times New Roman"/>
          <w:szCs w:val="24"/>
        </w:rPr>
        <w:t>1</w:t>
      </w:r>
      <w:r w:rsidR="00771CA8" w:rsidRPr="00117FC4">
        <w:rPr>
          <w:rFonts w:eastAsia="Times New Roman"/>
          <w:szCs w:val="24"/>
        </w:rPr>
        <w:t xml:space="preserve"> </w:t>
      </w:r>
      <w:r w:rsidRPr="00117FC4">
        <w:rPr>
          <w:rFonts w:eastAsia="Times New Roman"/>
          <w:szCs w:val="24"/>
        </w:rPr>
        <w:t xml:space="preserve">jest umiejscowienie w jednym przepisie kluczowych warunków wyboru operacji. Zmiana w art. </w:t>
      </w:r>
      <w:r w:rsidR="008D3F26">
        <w:rPr>
          <w:rFonts w:eastAsia="Times New Roman"/>
          <w:szCs w:val="24"/>
        </w:rPr>
        <w:t>5</w:t>
      </w:r>
      <w:r w:rsidR="0098763D" w:rsidRPr="00117FC4">
        <w:rPr>
          <w:rFonts w:eastAsia="Times New Roman"/>
          <w:szCs w:val="24"/>
        </w:rPr>
        <w:t xml:space="preserve"> </w:t>
      </w:r>
      <w:r w:rsidRPr="00117FC4">
        <w:rPr>
          <w:rFonts w:eastAsia="Times New Roman"/>
          <w:szCs w:val="24"/>
        </w:rPr>
        <w:t>pkt 1</w:t>
      </w:r>
      <w:r w:rsidR="00F51D60">
        <w:rPr>
          <w:rFonts w:eastAsia="Times New Roman"/>
          <w:szCs w:val="24"/>
        </w:rPr>
        <w:t>2</w:t>
      </w:r>
      <w:r w:rsidRPr="00117FC4">
        <w:rPr>
          <w:rFonts w:eastAsia="Times New Roman"/>
          <w:szCs w:val="24"/>
        </w:rPr>
        <w:t xml:space="preserve"> uwzględnia stan faktyczny, jaki zaistniał począwszy od konkursu nr 3/2019, w którym nie brały udziału jednostki doradztwa rolniczego, czyli CDR i wojewódzkie ośrodki doradztwa rolniczego, jako podmioty właściwe do oceny operacji partnerów KSOW zgłoszonych do realizacji w ramach Sieci na</w:t>
      </w:r>
      <w:r w:rsidR="002C7B7F">
        <w:rPr>
          <w:rFonts w:eastAsia="Times New Roman"/>
          <w:szCs w:val="24"/>
        </w:rPr>
        <w:t> </w:t>
      </w:r>
      <w:r w:rsidRPr="00117FC4">
        <w:rPr>
          <w:rFonts w:eastAsia="Times New Roman"/>
          <w:szCs w:val="24"/>
        </w:rPr>
        <w:t xml:space="preserve"> rzecz innowacji w rolnictwie i na obszarach wiejskich. Zmiana w art. </w:t>
      </w:r>
      <w:r w:rsidR="008D3F26">
        <w:rPr>
          <w:rFonts w:eastAsia="Times New Roman"/>
          <w:szCs w:val="24"/>
        </w:rPr>
        <w:t>5</w:t>
      </w:r>
      <w:r w:rsidR="00771CA8" w:rsidRPr="00117FC4">
        <w:rPr>
          <w:rFonts w:eastAsia="Times New Roman"/>
          <w:szCs w:val="24"/>
        </w:rPr>
        <w:t xml:space="preserve"> </w:t>
      </w:r>
      <w:r w:rsidRPr="00117FC4">
        <w:rPr>
          <w:rFonts w:eastAsia="Times New Roman"/>
          <w:szCs w:val="24"/>
        </w:rPr>
        <w:t>pkt 1</w:t>
      </w:r>
      <w:r w:rsidR="00F51D60">
        <w:rPr>
          <w:rFonts w:eastAsia="Times New Roman"/>
          <w:szCs w:val="24"/>
        </w:rPr>
        <w:t>3</w:t>
      </w:r>
      <w:r w:rsidRPr="00117FC4">
        <w:rPr>
          <w:rFonts w:eastAsia="Times New Roman"/>
          <w:szCs w:val="24"/>
        </w:rPr>
        <w:t xml:space="preserve"> lit. a ma na celu umożliwienie złożenia wniosku o wybór operacji dwóm lub więcej partnerów KSOW działającym razem w formie konsorcjum w celu wspólnej realizacji operacji. Realizacja operacji jako konsorcjum pozwoli na sprawniejszą jej realizację, a także przyczyni się do sieciowania podmiotów mających wspólne cele i budowania trwałych partnerstw. Zmiana w</w:t>
      </w:r>
      <w:r w:rsidR="002C7B7F">
        <w:rPr>
          <w:rFonts w:eastAsia="Times New Roman"/>
          <w:szCs w:val="24"/>
        </w:rPr>
        <w:t> </w:t>
      </w:r>
      <w:r w:rsidRPr="00117FC4">
        <w:rPr>
          <w:rFonts w:eastAsia="Times New Roman"/>
          <w:szCs w:val="24"/>
        </w:rPr>
        <w:t xml:space="preserve"> art. </w:t>
      </w:r>
      <w:r w:rsidR="008D3F26">
        <w:rPr>
          <w:rFonts w:eastAsia="Times New Roman"/>
          <w:szCs w:val="24"/>
        </w:rPr>
        <w:t>5</w:t>
      </w:r>
      <w:r w:rsidR="0098763D" w:rsidRPr="00117FC4">
        <w:rPr>
          <w:rFonts w:eastAsia="Times New Roman"/>
          <w:szCs w:val="24"/>
        </w:rPr>
        <w:t xml:space="preserve"> </w:t>
      </w:r>
      <w:r w:rsidRPr="00117FC4">
        <w:rPr>
          <w:rFonts w:eastAsia="Times New Roman"/>
          <w:szCs w:val="24"/>
        </w:rPr>
        <w:t>pkt 1</w:t>
      </w:r>
      <w:r w:rsidR="00F51D60">
        <w:rPr>
          <w:rFonts w:eastAsia="Times New Roman"/>
          <w:szCs w:val="24"/>
        </w:rPr>
        <w:t>3</w:t>
      </w:r>
      <w:r w:rsidRPr="00117FC4">
        <w:rPr>
          <w:rFonts w:eastAsia="Times New Roman"/>
          <w:szCs w:val="24"/>
        </w:rPr>
        <w:t xml:space="preserve"> lit. b i c realizuje postulat zgłaszany przez jednostki regionalne KSOW. Ma ona na celu usprawnienie procesu oceny operacji przez umożliwienie pozostawienia wniosku </w:t>
      </w:r>
      <w:r w:rsidRPr="00117FC4">
        <w:rPr>
          <w:rFonts w:eastAsia="Times New Roman"/>
          <w:szCs w:val="24"/>
        </w:rPr>
        <w:lastRenderedPageBreak/>
        <w:t>o</w:t>
      </w:r>
      <w:r w:rsidR="002C7B7F">
        <w:rPr>
          <w:rFonts w:eastAsia="Times New Roman"/>
          <w:szCs w:val="24"/>
        </w:rPr>
        <w:t> </w:t>
      </w:r>
      <w:r w:rsidRPr="00117FC4">
        <w:rPr>
          <w:rFonts w:eastAsia="Times New Roman"/>
          <w:szCs w:val="24"/>
        </w:rPr>
        <w:t xml:space="preserve"> wybór operacji bez rozpatrzenia w sytuacji gdy </w:t>
      </w:r>
      <w:r w:rsidRPr="00117FC4">
        <w:rPr>
          <w:rFonts w:ascii="Times" w:eastAsia="Calibri" w:hAnsi="Times"/>
          <w:bCs/>
        </w:rPr>
        <w:t>zachodzą niebudzące wątpliwości przesłanki, wskazujące na to, że operacja nie zostanie wybrana</w:t>
      </w:r>
      <w:r w:rsidR="00CF6413" w:rsidRPr="00117FC4">
        <w:rPr>
          <w:rFonts w:ascii="Times" w:eastAsia="Calibri" w:hAnsi="Times"/>
          <w:bCs/>
        </w:rPr>
        <w:t>, czyli wskazujące na niespełnienie warunków wyboru lub obligatoryjnych kryteriów wyboru operacji</w:t>
      </w:r>
      <w:r w:rsidRPr="00117FC4">
        <w:rPr>
          <w:rFonts w:ascii="Times" w:eastAsia="Calibri" w:hAnsi="Times"/>
          <w:bCs/>
        </w:rPr>
        <w:t xml:space="preserve">. Ponadto zmiana ta wprowadza obligatoryjne ponowne wezwanie do uzupełnienia braków we wniosku o wybór operacji, ale już pod rygorem </w:t>
      </w:r>
      <w:r w:rsidRPr="00117FC4">
        <w:rPr>
          <w:rFonts w:eastAsia="Times New Roman"/>
          <w:szCs w:val="24"/>
        </w:rPr>
        <w:t xml:space="preserve">pozostawienia wniosku o wybór operacji bez rozpatrzenia. </w:t>
      </w:r>
      <w:r w:rsidRPr="00096E61">
        <w:rPr>
          <w:rFonts w:eastAsia="Times New Roman"/>
          <w:szCs w:val="24"/>
        </w:rPr>
        <w:t xml:space="preserve">Zmiana ta jest o tyle istotna dla partnerów KSOW, że </w:t>
      </w:r>
      <w:r w:rsidR="00FF4DB9" w:rsidRPr="00096E61">
        <w:rPr>
          <w:rFonts w:eastAsia="Times New Roman"/>
          <w:szCs w:val="24"/>
        </w:rPr>
        <w:t>nowelizacją</w:t>
      </w:r>
      <w:r w:rsidRPr="00096E61">
        <w:rPr>
          <w:rFonts w:eastAsia="Times New Roman"/>
          <w:szCs w:val="24"/>
        </w:rPr>
        <w:t xml:space="preserve"> ustawy o PROW 2014–2020</w:t>
      </w:r>
      <w:r w:rsidR="00CF6413" w:rsidRPr="00096E61">
        <w:rPr>
          <w:rFonts w:eastAsia="Times New Roman"/>
          <w:szCs w:val="24"/>
        </w:rPr>
        <w:t>, objęt</w:t>
      </w:r>
      <w:r w:rsidR="00FF4DB9" w:rsidRPr="00096E61">
        <w:rPr>
          <w:rFonts w:eastAsia="Times New Roman"/>
          <w:szCs w:val="24"/>
        </w:rPr>
        <w:t>ą</w:t>
      </w:r>
      <w:r w:rsidR="00CF6413" w:rsidRPr="00096E61">
        <w:rPr>
          <w:rFonts w:eastAsia="Times New Roman"/>
          <w:szCs w:val="24"/>
        </w:rPr>
        <w:t xml:space="preserve"> ustawą </w:t>
      </w:r>
      <w:r w:rsidR="00172998">
        <w:rPr>
          <w:rFonts w:eastAsia="Times New Roman"/>
          <w:szCs w:val="24"/>
        </w:rPr>
        <w:t xml:space="preserve">z dnia 15 kwietnia </w:t>
      </w:r>
      <w:r w:rsidR="00CF6413" w:rsidRPr="00096E61">
        <w:rPr>
          <w:rFonts w:eastAsia="Times New Roman"/>
          <w:szCs w:val="24"/>
        </w:rPr>
        <w:t>o zmianie ustawy o płatnościach w ramach systemów wsparcia bezpośredniego oraz niektórych innych ustaw</w:t>
      </w:r>
      <w:r w:rsidR="00FF4DB9" w:rsidRPr="00096E61">
        <w:rPr>
          <w:rFonts w:eastAsia="Times New Roman"/>
          <w:szCs w:val="24"/>
        </w:rPr>
        <w:t xml:space="preserve"> (</w:t>
      </w:r>
      <w:r w:rsidR="00172998">
        <w:rPr>
          <w:rFonts w:eastAsia="Times New Roman"/>
          <w:szCs w:val="24"/>
        </w:rPr>
        <w:t>Dz. U. poz. 904</w:t>
      </w:r>
      <w:r w:rsidR="00FF4DB9" w:rsidRPr="00096E61">
        <w:rPr>
          <w:rFonts w:eastAsia="Times New Roman"/>
          <w:szCs w:val="24"/>
        </w:rPr>
        <w:t>)</w:t>
      </w:r>
      <w:r w:rsidR="00CF6413" w:rsidRPr="00117FC4">
        <w:rPr>
          <w:rFonts w:eastAsia="Times New Roman"/>
          <w:szCs w:val="24"/>
        </w:rPr>
        <w:t xml:space="preserve">, </w:t>
      </w:r>
      <w:r w:rsidRPr="00117FC4">
        <w:rPr>
          <w:rFonts w:eastAsia="Times New Roman"/>
          <w:szCs w:val="24"/>
        </w:rPr>
        <w:t>uchyl</w:t>
      </w:r>
      <w:r w:rsidR="00FF4DB9">
        <w:rPr>
          <w:rFonts w:eastAsia="Times New Roman"/>
          <w:szCs w:val="24"/>
        </w:rPr>
        <w:t>ono</w:t>
      </w:r>
      <w:r w:rsidRPr="00117FC4">
        <w:rPr>
          <w:rFonts w:eastAsia="Times New Roman"/>
          <w:szCs w:val="24"/>
        </w:rPr>
        <w:t xml:space="preserve"> jej przepis art. 67b ust. 1, który na podstawie art. 67b ust. 6 miał zastosowanie do postępowania w sprawach dotyczących wyboru operacji partnerów KSOW. Zmiana w art. </w:t>
      </w:r>
      <w:r w:rsidR="008D3F26">
        <w:rPr>
          <w:rFonts w:eastAsia="Times New Roman"/>
          <w:szCs w:val="24"/>
        </w:rPr>
        <w:t>5</w:t>
      </w:r>
      <w:r w:rsidR="00771CA8" w:rsidRPr="00117FC4">
        <w:rPr>
          <w:rFonts w:eastAsia="Times New Roman"/>
          <w:szCs w:val="24"/>
        </w:rPr>
        <w:t xml:space="preserve"> </w:t>
      </w:r>
      <w:r w:rsidRPr="00117FC4">
        <w:rPr>
          <w:rFonts w:eastAsia="Times New Roman"/>
          <w:szCs w:val="24"/>
        </w:rPr>
        <w:t>pkt 1</w:t>
      </w:r>
      <w:r w:rsidR="00F51D60">
        <w:rPr>
          <w:rFonts w:eastAsia="Times New Roman"/>
          <w:szCs w:val="24"/>
        </w:rPr>
        <w:t>3</w:t>
      </w:r>
      <w:r w:rsidRPr="00117FC4">
        <w:rPr>
          <w:rFonts w:eastAsia="Times New Roman"/>
          <w:szCs w:val="24"/>
        </w:rPr>
        <w:t xml:space="preserve"> lit. d ma na celu umożliwienie jednostce dokonującej oceny operacji</w:t>
      </w:r>
      <w:r w:rsidRPr="00117FC4">
        <w:rPr>
          <w:rFonts w:eastAsia="Times New Roman"/>
          <w:bCs/>
          <w:szCs w:val="24"/>
        </w:rPr>
        <w:t xml:space="preserve"> poinformowanie partnera KSOW o</w:t>
      </w:r>
      <w:r w:rsidR="008B2A2A">
        <w:rPr>
          <w:rFonts w:eastAsia="Times New Roman"/>
          <w:bCs/>
          <w:szCs w:val="24"/>
        </w:rPr>
        <w:t> </w:t>
      </w:r>
      <w:r w:rsidRPr="00117FC4">
        <w:rPr>
          <w:rFonts w:eastAsia="Times New Roman"/>
          <w:bCs/>
          <w:szCs w:val="24"/>
        </w:rPr>
        <w:t xml:space="preserve"> niespełnieniu warunków wyboru operacji nie tylko w formie pisemnej, ale również w formie dokumentu elektronicznego, z tym że</w:t>
      </w:r>
      <w:r w:rsidR="00B15536">
        <w:rPr>
          <w:rFonts w:eastAsia="Times New Roman"/>
          <w:bCs/>
          <w:szCs w:val="24"/>
        </w:rPr>
        <w:t> </w:t>
      </w:r>
      <w:r w:rsidRPr="00117FC4">
        <w:rPr>
          <w:rFonts w:eastAsia="Times New Roman"/>
          <w:bCs/>
          <w:szCs w:val="24"/>
        </w:rPr>
        <w:t xml:space="preserve"> zaproponowane brzmienie tego przepisu mówi o</w:t>
      </w:r>
      <w:r w:rsidR="005A2F5C">
        <w:rPr>
          <w:rFonts w:eastAsia="Times New Roman"/>
          <w:bCs/>
          <w:szCs w:val="24"/>
        </w:rPr>
        <w:t> </w:t>
      </w:r>
      <w:r w:rsidRPr="00117FC4">
        <w:rPr>
          <w:rFonts w:eastAsia="Times New Roman"/>
          <w:bCs/>
          <w:szCs w:val="24"/>
        </w:rPr>
        <w:t xml:space="preserve"> poinformowaniu na piśmie utrwalonym w </w:t>
      </w:r>
      <w:r w:rsidR="00B15536">
        <w:rPr>
          <w:rFonts w:eastAsia="Times New Roman"/>
          <w:bCs/>
          <w:szCs w:val="24"/>
        </w:rPr>
        <w:t> </w:t>
      </w:r>
      <w:r w:rsidRPr="00117FC4">
        <w:rPr>
          <w:rFonts w:eastAsia="Times New Roman"/>
          <w:bCs/>
          <w:szCs w:val="24"/>
        </w:rPr>
        <w:t>postaci papierowej lub elektronicznej</w:t>
      </w:r>
      <w:r w:rsidR="005A2F5C">
        <w:rPr>
          <w:rFonts w:eastAsia="Times New Roman"/>
          <w:bCs/>
          <w:szCs w:val="24"/>
        </w:rPr>
        <w:t xml:space="preserve"> i wskazuje sposób podpisania takiego pisma</w:t>
      </w:r>
      <w:r w:rsidR="005A2F5C" w:rsidRPr="00117FC4">
        <w:rPr>
          <w:rFonts w:eastAsia="Times New Roman"/>
          <w:bCs/>
          <w:szCs w:val="24"/>
        </w:rPr>
        <w:t xml:space="preserve">. </w:t>
      </w:r>
      <w:r w:rsidR="005A2F5C">
        <w:rPr>
          <w:rFonts w:eastAsia="Times New Roman"/>
          <w:bCs/>
          <w:szCs w:val="24"/>
        </w:rPr>
        <w:t>W tym zakresie przepis ten jest identyczny ze</w:t>
      </w:r>
      <w:r w:rsidR="00172998">
        <w:rPr>
          <w:rFonts w:eastAsia="Times New Roman"/>
          <w:bCs/>
          <w:szCs w:val="24"/>
        </w:rPr>
        <w:t> </w:t>
      </w:r>
      <w:r w:rsidR="005A2F5C">
        <w:rPr>
          <w:rFonts w:eastAsia="Times New Roman"/>
          <w:bCs/>
          <w:szCs w:val="24"/>
        </w:rPr>
        <w:t xml:space="preserve"> znowelizowanym przepisem </w:t>
      </w:r>
      <w:r w:rsidRPr="00117FC4">
        <w:rPr>
          <w:rFonts w:eastAsia="Times New Roman"/>
          <w:bCs/>
          <w:szCs w:val="24"/>
        </w:rPr>
        <w:t xml:space="preserve">art. 14 </w:t>
      </w:r>
      <w:r w:rsidR="005A2F5C" w:rsidRPr="00117FC4">
        <w:rPr>
          <w:rFonts w:eastAsia="Times New Roman"/>
          <w:bCs/>
          <w:szCs w:val="24"/>
        </w:rPr>
        <w:t xml:space="preserve">§ 1a </w:t>
      </w:r>
      <w:r w:rsidRPr="00117FC4">
        <w:rPr>
          <w:rFonts w:eastAsia="Times New Roman"/>
          <w:bCs/>
          <w:szCs w:val="24"/>
        </w:rPr>
        <w:t>K</w:t>
      </w:r>
      <w:r w:rsidR="00B15536">
        <w:rPr>
          <w:rFonts w:eastAsia="Times New Roman"/>
          <w:bCs/>
          <w:szCs w:val="24"/>
        </w:rPr>
        <w:t>pa</w:t>
      </w:r>
      <w:r w:rsidRPr="00117FC4">
        <w:rPr>
          <w:rFonts w:eastAsia="Times New Roman"/>
          <w:bCs/>
          <w:szCs w:val="24"/>
        </w:rPr>
        <w:t>, zgodnie z którym sprawy należy prowadzić i</w:t>
      </w:r>
      <w:r w:rsidR="00E843C0">
        <w:rPr>
          <w:rFonts w:eastAsia="Times New Roman"/>
          <w:bCs/>
          <w:szCs w:val="24"/>
        </w:rPr>
        <w:t> </w:t>
      </w:r>
      <w:r w:rsidRPr="00117FC4">
        <w:rPr>
          <w:rFonts w:eastAsia="Times New Roman"/>
          <w:bCs/>
          <w:szCs w:val="24"/>
        </w:rPr>
        <w:t xml:space="preserve"> załatwiać na piśmie utrwalonym w postaci papierowej lub elektronicznej. 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Propozycja brzmienia przepisu w art. </w:t>
      </w:r>
      <w:r w:rsidR="008D3F26">
        <w:rPr>
          <w:rFonts w:eastAsia="Times New Roman"/>
          <w:bCs/>
          <w:szCs w:val="24"/>
        </w:rPr>
        <w:t>5</w:t>
      </w:r>
      <w:r w:rsidR="00771CA8" w:rsidRPr="00117FC4">
        <w:rPr>
          <w:rFonts w:eastAsia="Times New Roman"/>
          <w:bCs/>
          <w:szCs w:val="24"/>
        </w:rPr>
        <w:t xml:space="preserve"> </w:t>
      </w:r>
      <w:r w:rsidRPr="00117FC4">
        <w:rPr>
          <w:rFonts w:eastAsia="Times New Roman"/>
          <w:bCs/>
          <w:szCs w:val="24"/>
        </w:rPr>
        <w:t>pkt 1</w:t>
      </w:r>
      <w:r w:rsidR="00F51D60">
        <w:rPr>
          <w:rFonts w:eastAsia="Times New Roman"/>
          <w:bCs/>
          <w:szCs w:val="24"/>
        </w:rPr>
        <w:t>3</w:t>
      </w:r>
      <w:r w:rsidRPr="00117FC4">
        <w:rPr>
          <w:rFonts w:eastAsia="Times New Roman"/>
          <w:bCs/>
          <w:szCs w:val="24"/>
        </w:rPr>
        <w:t xml:space="preserve"> lit. d niniejszego projektu została zapożyczona ze</w:t>
      </w:r>
      <w:r w:rsidR="005A2F5C">
        <w:rPr>
          <w:rFonts w:eastAsia="Times New Roman"/>
          <w:bCs/>
          <w:szCs w:val="24"/>
        </w:rPr>
        <w:t> </w:t>
      </w:r>
      <w:r w:rsidRPr="00117FC4">
        <w:rPr>
          <w:rFonts w:eastAsia="Times New Roman"/>
          <w:bCs/>
          <w:szCs w:val="24"/>
        </w:rPr>
        <w:t xml:space="preserve"> zmienionego art. 14 Kpa. Analogiczna zmiana została zaprojektowana w art. </w:t>
      </w:r>
      <w:r w:rsidR="008D3F26">
        <w:rPr>
          <w:rFonts w:eastAsia="Times New Roman"/>
          <w:bCs/>
          <w:szCs w:val="24"/>
        </w:rPr>
        <w:t>5</w:t>
      </w:r>
      <w:r w:rsidR="0098763D" w:rsidRPr="00117FC4">
        <w:rPr>
          <w:rFonts w:eastAsia="Times New Roman"/>
          <w:bCs/>
          <w:szCs w:val="24"/>
        </w:rPr>
        <w:t xml:space="preserve"> </w:t>
      </w:r>
      <w:r w:rsidRPr="00117FC4">
        <w:rPr>
          <w:rFonts w:eastAsia="Times New Roman"/>
          <w:bCs/>
          <w:szCs w:val="24"/>
        </w:rPr>
        <w:t>pkt 1</w:t>
      </w:r>
      <w:r w:rsidR="00F51D60">
        <w:rPr>
          <w:rFonts w:eastAsia="Times New Roman"/>
          <w:bCs/>
          <w:szCs w:val="24"/>
        </w:rPr>
        <w:t>4</w:t>
      </w:r>
      <w:r w:rsidRPr="00117FC4">
        <w:rPr>
          <w:rFonts w:eastAsia="Times New Roman"/>
          <w:bCs/>
          <w:szCs w:val="24"/>
        </w:rPr>
        <w:t xml:space="preserve"> lit. a. Zmiana w art. </w:t>
      </w:r>
      <w:r w:rsidR="008D3F26">
        <w:rPr>
          <w:rFonts w:eastAsia="Times New Roman"/>
          <w:bCs/>
          <w:szCs w:val="24"/>
        </w:rPr>
        <w:t>5</w:t>
      </w:r>
      <w:r w:rsidR="0098763D" w:rsidRPr="00117FC4">
        <w:rPr>
          <w:rFonts w:eastAsia="Times New Roman"/>
          <w:bCs/>
          <w:szCs w:val="24"/>
        </w:rPr>
        <w:t xml:space="preserve"> </w:t>
      </w:r>
      <w:r w:rsidRPr="00117FC4">
        <w:rPr>
          <w:rFonts w:eastAsia="Times New Roman"/>
          <w:bCs/>
          <w:szCs w:val="24"/>
        </w:rPr>
        <w:t>pkt 1</w:t>
      </w:r>
      <w:r w:rsidR="00F51D60">
        <w:rPr>
          <w:rFonts w:eastAsia="Times New Roman"/>
          <w:bCs/>
          <w:szCs w:val="24"/>
        </w:rPr>
        <w:t>3</w:t>
      </w:r>
      <w:r w:rsidRPr="00117FC4">
        <w:rPr>
          <w:rFonts w:eastAsia="Times New Roman"/>
          <w:bCs/>
          <w:szCs w:val="24"/>
        </w:rPr>
        <w:t xml:space="preserve"> lit. e ma na celu dostosowanie zmiennej ustawy do aktualnego stanu prawnego i stanu faktycznego, który zaistniał począwszy od konkurs nr 3/2019 dla partnerów KSOW. W wyniku zmiany ustawy o </w:t>
      </w:r>
      <w:r w:rsidRPr="00117FC4">
        <w:rPr>
          <w:rFonts w:eastAsia="Times New Roman"/>
          <w:szCs w:val="24"/>
        </w:rPr>
        <w:t>PROW 2014–2020 instytucja zarządzająca przestała uczestniczyć w ocenie operacji, którą oceniała pod względem spełnienia kryteriów wyboru, po</w:t>
      </w:r>
      <w:r w:rsidR="00B15536">
        <w:rPr>
          <w:rFonts w:eastAsia="Times New Roman"/>
          <w:szCs w:val="24"/>
        </w:rPr>
        <w:t> </w:t>
      </w:r>
      <w:r w:rsidRPr="00117FC4">
        <w:rPr>
          <w:rFonts w:eastAsia="Times New Roman"/>
          <w:szCs w:val="24"/>
        </w:rPr>
        <w:t xml:space="preserve"> tym jak jednostka centralna oceniła spełnienie wymagań i warunków wyboru operacji, po</w:t>
      </w:r>
      <w:r w:rsidR="00B15536">
        <w:rPr>
          <w:rFonts w:eastAsia="Times New Roman"/>
          <w:szCs w:val="24"/>
        </w:rPr>
        <w:t> </w:t>
      </w:r>
      <w:r w:rsidRPr="00117FC4">
        <w:rPr>
          <w:rFonts w:eastAsia="Times New Roman"/>
          <w:szCs w:val="24"/>
        </w:rPr>
        <w:t xml:space="preserve"> czym przekazywała wniosek o wybór operacji instytucji zarządzającej. Ta sama sytuacja dotyczy oceny operacji przez wojewódzki ośrodek doradztwa rolniczego i CDR, złożonej w</w:t>
      </w:r>
      <w:r w:rsidR="00B15536">
        <w:rPr>
          <w:rFonts w:eastAsia="Times New Roman"/>
          <w:szCs w:val="24"/>
        </w:rPr>
        <w:t> </w:t>
      </w:r>
      <w:r w:rsidRPr="00117FC4">
        <w:rPr>
          <w:rFonts w:eastAsia="Times New Roman"/>
          <w:szCs w:val="24"/>
        </w:rPr>
        <w:t xml:space="preserve"> ramach Sieci na rzecz innowacji w rolnictwie i na obszarach wiejskich. W związku z tym</w:t>
      </w:r>
      <w:r w:rsidR="00B15536">
        <w:rPr>
          <w:rFonts w:eastAsia="Times New Roman"/>
          <w:szCs w:val="24"/>
        </w:rPr>
        <w:t>,</w:t>
      </w:r>
      <w:r w:rsidRPr="00117FC4">
        <w:rPr>
          <w:rFonts w:eastAsia="Times New Roman"/>
          <w:szCs w:val="24"/>
        </w:rPr>
        <w:t xml:space="preserve"> że w ramach konkursu dla partnerów KSOW (biorąc pod uwagę charakter działań możliwych do realizacji w ramach Sieci na rzecz innowacji w rolnictwie i na obszarach wiejskich) nie ma już możliwości składania wniosków o wybór operacji do realizacji w ramach Sieci na rzecz </w:t>
      </w:r>
      <w:r w:rsidRPr="00117FC4">
        <w:rPr>
          <w:rFonts w:eastAsia="Times New Roman"/>
          <w:szCs w:val="24"/>
        </w:rPr>
        <w:lastRenderedPageBreak/>
        <w:t>innowacji w rolnictwie i na obszarach wiejskich, przepisy art. 57d ust. 10</w:t>
      </w:r>
      <w:r w:rsidRPr="00117FC4">
        <w:rPr>
          <w:rFonts w:eastAsia="Times New Roman"/>
          <w:szCs w:val="24"/>
        </w:rPr>
        <w:sym w:font="Symbol" w:char="F02D"/>
      </w:r>
      <w:r w:rsidRPr="00117FC4">
        <w:rPr>
          <w:rFonts w:eastAsia="Times New Roman"/>
          <w:szCs w:val="24"/>
        </w:rPr>
        <w:t>12 ustawy o</w:t>
      </w:r>
      <w:r w:rsidRPr="00117FC4">
        <w:rPr>
          <w:rFonts w:eastAsia="Calibri" w:cs="Times New Roman"/>
          <w:szCs w:val="24"/>
          <w:lang w:eastAsia="en-US"/>
        </w:rPr>
        <w:t xml:space="preserve"> PROW 2014–2020 należy uchylić, ponieważ nie są stosowane. Zmiana w art. </w:t>
      </w:r>
      <w:r w:rsidR="008D3F26">
        <w:rPr>
          <w:rFonts w:eastAsia="Calibri" w:cs="Times New Roman"/>
          <w:szCs w:val="24"/>
          <w:lang w:eastAsia="en-US"/>
        </w:rPr>
        <w:t>5</w:t>
      </w:r>
      <w:r w:rsidR="0098763D" w:rsidRPr="00117FC4">
        <w:rPr>
          <w:rFonts w:eastAsia="Calibri" w:cs="Times New Roman"/>
          <w:szCs w:val="24"/>
          <w:lang w:eastAsia="en-US"/>
        </w:rPr>
        <w:t xml:space="preserve"> </w:t>
      </w:r>
      <w:r w:rsidRPr="00117FC4">
        <w:rPr>
          <w:rFonts w:eastAsia="Calibri" w:cs="Times New Roman"/>
          <w:szCs w:val="24"/>
          <w:lang w:eastAsia="en-US"/>
        </w:rPr>
        <w:t>pkt 1</w:t>
      </w:r>
      <w:r w:rsidR="00F51D60">
        <w:rPr>
          <w:rFonts w:eastAsia="Calibri" w:cs="Times New Roman"/>
          <w:szCs w:val="24"/>
          <w:lang w:eastAsia="en-US"/>
        </w:rPr>
        <w:t>4</w:t>
      </w:r>
      <w:r w:rsidRPr="00117FC4">
        <w:rPr>
          <w:rFonts w:eastAsia="Calibri" w:cs="Times New Roman"/>
          <w:szCs w:val="24"/>
          <w:lang w:eastAsia="en-US"/>
        </w:rPr>
        <w:t xml:space="preserve"> lit. b realizuje postulat jednostek uczestniczących w ocenie operacji partnerów KSOW, zgodnie z którym operacja, która otrzymała wymaganą liczbę punktów, lecz nie mieści się w limicie środków przeznaczonym przez daną jednostkę na operacje złożone w konkursie, nie może otrzymać negatywnej oceny, ponieważ jej ocena jest dokonywana w oparciu o kryteria wyboru, za które otrzymuje punkty, i to te punkty przesądzają o wyborze lub nie operacji. Mając to na uwadze proponuje się, aby negatywną oceną operacji była tylko ocena, w wyniku której operacja nie uzyskała wymaganej liczby punktów. W przypadku zaś operacji, która uzyskała wymaganą liczbę punktów, lecz nie zmieściła się w limicie dostępnych środków, operacja taka </w:t>
      </w:r>
      <w:r w:rsidRPr="00117FC4">
        <w:rPr>
          <w:rFonts w:eastAsia="Calibri" w:cs="Times New Roman"/>
          <w:bCs/>
          <w:szCs w:val="24"/>
          <w:lang w:eastAsia="en-US"/>
        </w:rPr>
        <w:t xml:space="preserve">mogłaby zostać wybrana, jeżeli zwolnią się wystarczające środki, które zostały przeznaczone na realizację operacji wybranych, lub partner KSOW zgodzi się zrealizować operację za środki jakie pozostały po ogłoszeniu listy ocenionych operacji. Zmiana w art. </w:t>
      </w:r>
      <w:r w:rsidR="008D3F26">
        <w:rPr>
          <w:rFonts w:eastAsia="Calibri" w:cs="Times New Roman"/>
          <w:bCs/>
          <w:szCs w:val="24"/>
          <w:lang w:eastAsia="en-US"/>
        </w:rPr>
        <w:t>5</w:t>
      </w:r>
      <w:r w:rsidR="0098763D" w:rsidRPr="00117FC4">
        <w:rPr>
          <w:rFonts w:eastAsia="Calibri" w:cs="Times New Roman"/>
          <w:bCs/>
          <w:szCs w:val="24"/>
          <w:lang w:eastAsia="en-US"/>
        </w:rPr>
        <w:t xml:space="preserve"> </w:t>
      </w:r>
      <w:r w:rsidRPr="00117FC4">
        <w:rPr>
          <w:rFonts w:eastAsia="Calibri" w:cs="Times New Roman"/>
          <w:bCs/>
          <w:szCs w:val="24"/>
          <w:lang w:eastAsia="en-US"/>
        </w:rPr>
        <w:t>pkt 1</w:t>
      </w:r>
      <w:r w:rsidR="00F51D60">
        <w:rPr>
          <w:rFonts w:eastAsia="Calibri" w:cs="Times New Roman"/>
          <w:bCs/>
          <w:szCs w:val="24"/>
          <w:lang w:eastAsia="en-US"/>
        </w:rPr>
        <w:t>5</w:t>
      </w:r>
      <w:r w:rsidRPr="00117FC4">
        <w:rPr>
          <w:rFonts w:eastAsia="Calibri" w:cs="Times New Roman"/>
          <w:bCs/>
          <w:szCs w:val="24"/>
          <w:lang w:eastAsia="en-US"/>
        </w:rPr>
        <w:t xml:space="preserve"> lit. a ma na celu dostosowanie przepisów do utrwalonej konstrukcji formularza umowy na realizację operacji zawieranej z partnerem KSOW. W związku z tym, że formularz umowy nie jest określa sposobu realizacji operacji, jej celu i wskaźników jego osiągnięcia, lecz w tym zakresie odsyła do wniosku o wybór operacji, w którym te elementy są określone, co jest uzasadnione jego obszernością, zważywszy, że umowy są zawierane w postaci papierowej, a strony umowy posiadają swoje egzemplarze złożonego wniosku, w art. 57g ust. 1 ustawy o PROW 2014</w:t>
      </w:r>
      <w:r w:rsidRPr="00117FC4">
        <w:rPr>
          <w:rFonts w:eastAsia="Calibri" w:cs="Times New Roman"/>
          <w:bCs/>
          <w:szCs w:val="24"/>
          <w:lang w:eastAsia="en-US"/>
        </w:rPr>
        <w:sym w:font="Symbol" w:char="F02D"/>
      </w:r>
      <w:r w:rsidRPr="00117FC4">
        <w:rPr>
          <w:rFonts w:eastAsia="Calibri" w:cs="Times New Roman"/>
          <w:bCs/>
          <w:szCs w:val="24"/>
          <w:lang w:eastAsia="en-US"/>
        </w:rPr>
        <w:t xml:space="preserve">2020 należy zmienić pkt 2 i uchylić pkt 4. Celem zmiany w art. </w:t>
      </w:r>
      <w:r w:rsidR="008D3F26">
        <w:rPr>
          <w:rFonts w:eastAsia="Calibri" w:cs="Times New Roman"/>
          <w:bCs/>
          <w:szCs w:val="24"/>
          <w:lang w:eastAsia="en-US"/>
        </w:rPr>
        <w:t>5</w:t>
      </w:r>
      <w:r w:rsidR="00771CA8" w:rsidRPr="00117FC4">
        <w:rPr>
          <w:rFonts w:eastAsia="Calibri" w:cs="Times New Roman"/>
          <w:bCs/>
          <w:szCs w:val="24"/>
          <w:lang w:eastAsia="en-US"/>
        </w:rPr>
        <w:t xml:space="preserve"> </w:t>
      </w:r>
      <w:r w:rsidRPr="00117FC4">
        <w:rPr>
          <w:rFonts w:eastAsia="Calibri" w:cs="Times New Roman"/>
          <w:bCs/>
          <w:szCs w:val="24"/>
          <w:lang w:eastAsia="en-US"/>
        </w:rPr>
        <w:t>pkt 1</w:t>
      </w:r>
      <w:r w:rsidR="00F51D60">
        <w:rPr>
          <w:rFonts w:eastAsia="Calibri" w:cs="Times New Roman"/>
          <w:bCs/>
          <w:szCs w:val="24"/>
          <w:lang w:eastAsia="en-US"/>
        </w:rPr>
        <w:t>5</w:t>
      </w:r>
      <w:r w:rsidRPr="00117FC4">
        <w:rPr>
          <w:rFonts w:eastAsia="Calibri" w:cs="Times New Roman"/>
          <w:bCs/>
          <w:szCs w:val="24"/>
          <w:lang w:eastAsia="en-US"/>
        </w:rPr>
        <w:t xml:space="preserve"> lit. b jest dostosowanie przepisów do stanu faktycznego, utrzymującego się począwszy od konkursu nr 3/2019 i</w:t>
      </w:r>
      <w:r w:rsidR="00B658E7">
        <w:rPr>
          <w:rFonts w:eastAsia="Calibri" w:cs="Times New Roman"/>
          <w:bCs/>
          <w:szCs w:val="24"/>
          <w:lang w:eastAsia="en-US"/>
        </w:rPr>
        <w:t> </w:t>
      </w:r>
      <w:r w:rsidRPr="00117FC4">
        <w:rPr>
          <w:rFonts w:eastAsia="Calibri" w:cs="Times New Roman"/>
          <w:bCs/>
          <w:szCs w:val="24"/>
          <w:lang w:eastAsia="en-US"/>
        </w:rPr>
        <w:t xml:space="preserve"> związanego z tym, że wojewódzkie ośrodki doradztwa rolniczego nie uczestniczą w ocenie operacji partnerów KSOW złożonych w ramach konkursu, a tym samym nie zawierają z tymi partnerami umów na realizację operacji. Zmiana w art. </w:t>
      </w:r>
      <w:r w:rsidR="008D3F26">
        <w:rPr>
          <w:rFonts w:eastAsia="Calibri" w:cs="Times New Roman"/>
          <w:bCs/>
          <w:szCs w:val="24"/>
          <w:lang w:eastAsia="en-US"/>
        </w:rPr>
        <w:t>5</w:t>
      </w:r>
      <w:r w:rsidR="00771CA8" w:rsidRPr="00117FC4">
        <w:rPr>
          <w:rFonts w:eastAsia="Calibri" w:cs="Times New Roman"/>
          <w:bCs/>
          <w:szCs w:val="24"/>
          <w:lang w:eastAsia="en-US"/>
        </w:rPr>
        <w:t xml:space="preserve"> </w:t>
      </w:r>
      <w:r w:rsidRPr="00117FC4">
        <w:rPr>
          <w:rFonts w:eastAsia="Calibri" w:cs="Times New Roman"/>
          <w:bCs/>
          <w:szCs w:val="24"/>
          <w:lang w:eastAsia="en-US"/>
        </w:rPr>
        <w:t>pkt 1</w:t>
      </w:r>
      <w:r w:rsidR="00F51D60">
        <w:rPr>
          <w:rFonts w:eastAsia="Calibri" w:cs="Times New Roman"/>
          <w:bCs/>
          <w:szCs w:val="24"/>
          <w:lang w:eastAsia="en-US"/>
        </w:rPr>
        <w:t>5</w:t>
      </w:r>
      <w:r w:rsidRPr="00117FC4">
        <w:rPr>
          <w:rFonts w:eastAsia="Calibri" w:cs="Times New Roman"/>
          <w:bCs/>
          <w:szCs w:val="24"/>
          <w:lang w:eastAsia="en-US"/>
        </w:rPr>
        <w:t xml:space="preserve"> lit. c jest związana ze zmianą zaproponowaną w art. </w:t>
      </w:r>
      <w:r w:rsidR="008D3F26">
        <w:rPr>
          <w:rFonts w:eastAsia="Calibri" w:cs="Times New Roman"/>
          <w:bCs/>
          <w:szCs w:val="24"/>
          <w:lang w:eastAsia="en-US"/>
        </w:rPr>
        <w:t>5</w:t>
      </w:r>
      <w:r w:rsidR="0098763D" w:rsidRPr="00117FC4">
        <w:rPr>
          <w:rFonts w:eastAsia="Calibri" w:cs="Times New Roman"/>
          <w:bCs/>
          <w:szCs w:val="24"/>
          <w:lang w:eastAsia="en-US"/>
        </w:rPr>
        <w:t xml:space="preserve"> </w:t>
      </w:r>
      <w:r w:rsidRPr="00117FC4">
        <w:rPr>
          <w:rFonts w:eastAsia="Calibri" w:cs="Times New Roman"/>
          <w:bCs/>
          <w:szCs w:val="24"/>
          <w:lang w:eastAsia="en-US"/>
        </w:rPr>
        <w:t xml:space="preserve">pkt </w:t>
      </w:r>
      <w:r w:rsidR="000D04FB" w:rsidRPr="00117FC4">
        <w:rPr>
          <w:rFonts w:eastAsia="Calibri" w:cs="Times New Roman"/>
          <w:bCs/>
          <w:szCs w:val="24"/>
          <w:lang w:eastAsia="en-US"/>
        </w:rPr>
        <w:t>1</w:t>
      </w:r>
      <w:r w:rsidR="00F51D60">
        <w:rPr>
          <w:rFonts w:eastAsia="Calibri" w:cs="Times New Roman"/>
          <w:bCs/>
          <w:szCs w:val="24"/>
          <w:lang w:eastAsia="en-US"/>
        </w:rPr>
        <w:t>3</w:t>
      </w:r>
      <w:r w:rsidRPr="00117FC4">
        <w:rPr>
          <w:rFonts w:eastAsia="Calibri" w:cs="Times New Roman"/>
          <w:bCs/>
          <w:szCs w:val="24"/>
          <w:lang w:eastAsia="en-US"/>
        </w:rPr>
        <w:t xml:space="preserve"> lit. a, umożliwiającą złożenie wniosku o wybór operacji przez konsorcjum złożone z partnerów KSOW. Do takiej operacji należy stosować przepisy dotyczące wyboru i zawarcia umowy na realizację operacji z pojedynczym partnerem KSOW.</w:t>
      </w:r>
    </w:p>
    <w:p w14:paraId="66B778C8" w14:textId="77777777" w:rsidR="008B0397" w:rsidRPr="00117FC4" w:rsidRDefault="008B0397" w:rsidP="009F2C14">
      <w:pPr>
        <w:suppressAutoHyphens/>
        <w:autoSpaceDE/>
        <w:autoSpaceDN/>
        <w:adjustRightInd/>
        <w:spacing w:before="120" w:after="120"/>
        <w:jc w:val="both"/>
        <w:rPr>
          <w:rFonts w:eastAsia="Times New Roman"/>
          <w:b/>
          <w:szCs w:val="24"/>
        </w:rPr>
      </w:pPr>
      <w:r w:rsidRPr="00117FC4">
        <w:rPr>
          <w:rFonts w:eastAsia="Times New Roman"/>
          <w:b/>
          <w:szCs w:val="24"/>
        </w:rPr>
        <w:t xml:space="preserve">Zmiany w ustawie </w:t>
      </w:r>
      <w:r w:rsidRPr="00117FC4">
        <w:rPr>
          <w:rFonts w:eastAsia="Times New Roman" w:cs="Times New Roman"/>
          <w:b/>
          <w:szCs w:val="24"/>
        </w:rPr>
        <w:t>o finansowaniu wspólnej polityki rolnej</w:t>
      </w:r>
    </w:p>
    <w:p w14:paraId="27A1773C" w14:textId="5CB995EB" w:rsidR="004644C1" w:rsidRPr="00117FC4" w:rsidRDefault="004644C1" w:rsidP="009F2C14">
      <w:pPr>
        <w:suppressAutoHyphens/>
        <w:autoSpaceDE/>
        <w:autoSpaceDN/>
        <w:adjustRightInd/>
        <w:jc w:val="both"/>
        <w:rPr>
          <w:rFonts w:eastAsia="Calibri" w:cs="Times New Roman"/>
          <w:szCs w:val="24"/>
        </w:rPr>
      </w:pPr>
      <w:r w:rsidRPr="00117FC4">
        <w:rPr>
          <w:rFonts w:eastAsia="Times New Roman"/>
          <w:szCs w:val="24"/>
        </w:rPr>
        <w:t xml:space="preserve">Zmiany zaproponowane w art. </w:t>
      </w:r>
      <w:r w:rsidR="008D3F26">
        <w:rPr>
          <w:rFonts w:eastAsia="Times New Roman"/>
          <w:szCs w:val="24"/>
        </w:rPr>
        <w:t>6</w:t>
      </w:r>
      <w:r w:rsidRPr="00117FC4">
        <w:rPr>
          <w:rFonts w:eastAsia="Times New Roman"/>
          <w:szCs w:val="24"/>
        </w:rPr>
        <w:t xml:space="preserve">, dotyczące </w:t>
      </w:r>
      <w:r w:rsidRPr="00117FC4">
        <w:rPr>
          <w:rFonts w:eastAsia="Calibri" w:cs="Times New Roman"/>
          <w:szCs w:val="24"/>
        </w:rPr>
        <w:t xml:space="preserve">ustawy </w:t>
      </w:r>
      <w:r w:rsidRPr="00117FC4">
        <w:rPr>
          <w:rFonts w:eastAsia="Times New Roman" w:cs="Times New Roman"/>
          <w:szCs w:val="24"/>
        </w:rPr>
        <w:t>z dnia 27 maja 2015 r. o finansowaniu wspólnej polityki rolnej (Dz. U. z 2018 r. poz. 719), zwanej dalej „ustawą o finansowaniu wspólnej polityki rolnej”</w:t>
      </w:r>
      <w:r w:rsidRPr="00117FC4">
        <w:rPr>
          <w:rFonts w:eastAsia="Calibri" w:cs="Times New Roman"/>
          <w:szCs w:val="24"/>
        </w:rPr>
        <w:t>, wynikają w szczególności z potrzeby umożliwienia uruchomienia wyprzedzającego finansowania kolejnym beneficjentom PROW 2014</w:t>
      </w:r>
      <w:r w:rsidRPr="00117FC4">
        <w:rPr>
          <w:rFonts w:eastAsia="Times New Roman"/>
          <w:szCs w:val="24"/>
        </w:rPr>
        <w:t>–</w:t>
      </w:r>
      <w:r w:rsidRPr="00117FC4">
        <w:rPr>
          <w:rFonts w:eastAsia="Calibri" w:cs="Times New Roman"/>
          <w:szCs w:val="24"/>
        </w:rPr>
        <w:t xml:space="preserve">2020. </w:t>
      </w:r>
    </w:p>
    <w:p w14:paraId="786805D2" w14:textId="56B95144" w:rsidR="004644C1" w:rsidRDefault="004644C1" w:rsidP="004644C1">
      <w:pPr>
        <w:tabs>
          <w:tab w:val="left" w:pos="284"/>
        </w:tabs>
        <w:suppressAutoHyphens/>
        <w:autoSpaceDE/>
        <w:autoSpaceDN/>
        <w:adjustRightInd/>
        <w:spacing w:before="120"/>
        <w:contextualSpacing/>
        <w:jc w:val="both"/>
        <w:rPr>
          <w:rFonts w:eastAsia="Times New Roman" w:cs="Times New Roman"/>
          <w:szCs w:val="24"/>
        </w:rPr>
      </w:pPr>
      <w:r w:rsidRPr="00117FC4">
        <w:rPr>
          <w:rFonts w:eastAsia="Calibri" w:cs="Times New Roman"/>
          <w:szCs w:val="24"/>
        </w:rPr>
        <w:t xml:space="preserve">Zmiana projektowana w art. </w:t>
      </w:r>
      <w:r w:rsidR="008D3F26">
        <w:rPr>
          <w:rFonts w:eastAsia="Calibri" w:cs="Times New Roman"/>
          <w:szCs w:val="24"/>
        </w:rPr>
        <w:t>6</w:t>
      </w:r>
      <w:r w:rsidR="006522EF" w:rsidRPr="00117FC4">
        <w:rPr>
          <w:rFonts w:eastAsia="Calibri" w:cs="Times New Roman"/>
          <w:szCs w:val="24"/>
        </w:rPr>
        <w:t xml:space="preserve"> </w:t>
      </w:r>
      <w:r w:rsidRPr="00117FC4">
        <w:rPr>
          <w:rFonts w:eastAsia="Calibri" w:cs="Times New Roman"/>
          <w:szCs w:val="24"/>
        </w:rPr>
        <w:t xml:space="preserve">pkt 1 dotyczy umożliwienia dla nowego beneficjenta Programu </w:t>
      </w:r>
      <w:r w:rsidRPr="00117FC4">
        <w:rPr>
          <w:rFonts w:eastAsia="Calibri" w:cs="Times New Roman"/>
          <w:szCs w:val="24"/>
        </w:rPr>
        <w:lastRenderedPageBreak/>
        <w:t>Rozwoju Obszarów Wiejskich na lata 2014</w:t>
      </w:r>
      <w:r w:rsidRPr="00117FC4">
        <w:rPr>
          <w:rFonts w:eastAsia="Times New Roman"/>
          <w:szCs w:val="24"/>
        </w:rPr>
        <w:t>–</w:t>
      </w:r>
      <w:r w:rsidRPr="00117FC4">
        <w:rPr>
          <w:rFonts w:eastAsia="Calibri" w:cs="Times New Roman"/>
          <w:szCs w:val="24"/>
        </w:rPr>
        <w:t xml:space="preserve">2020, którym będzie </w:t>
      </w:r>
      <w:r w:rsidR="00B658E7">
        <w:rPr>
          <w:rFonts w:eastAsia="Calibri" w:cs="Times New Roman"/>
          <w:szCs w:val="24"/>
        </w:rPr>
        <w:t>PGW WP</w:t>
      </w:r>
      <w:r w:rsidRPr="00117FC4">
        <w:rPr>
          <w:rFonts w:eastAsia="Calibri" w:cs="Times New Roman"/>
          <w:szCs w:val="24"/>
        </w:rPr>
        <w:t xml:space="preserve"> w ramach nowo wprowadzanego obszaru wsparcia </w:t>
      </w:r>
      <w:r w:rsidR="00172998">
        <w:rPr>
          <w:rFonts w:eastAsia="Calibri" w:cs="Times New Roman"/>
          <w:szCs w:val="24"/>
        </w:rPr>
        <w:t>–</w:t>
      </w:r>
      <w:r w:rsidRPr="00117FC4">
        <w:rPr>
          <w:rFonts w:eastAsia="Calibri" w:cs="Times New Roman"/>
          <w:szCs w:val="24"/>
        </w:rPr>
        <w:t xml:space="preserve"> </w:t>
      </w:r>
      <w:r w:rsidRPr="00DF40AA">
        <w:rPr>
          <w:rFonts w:eastAsia="Calibri" w:cs="Times New Roman"/>
          <w:szCs w:val="24"/>
        </w:rPr>
        <w:t>zarządzanie zasobami wodnymi</w:t>
      </w:r>
      <w:r w:rsidRPr="00117FC4">
        <w:rPr>
          <w:rFonts w:eastAsia="Calibri" w:cs="Times New Roman"/>
          <w:i/>
          <w:szCs w:val="24"/>
        </w:rPr>
        <w:t xml:space="preserve"> </w:t>
      </w:r>
      <w:r w:rsidR="00172998">
        <w:rPr>
          <w:rFonts w:eastAsia="Calibri" w:cs="Times New Roman"/>
          <w:szCs w:val="24"/>
        </w:rPr>
        <w:t>–</w:t>
      </w:r>
      <w:r w:rsidRPr="00117FC4">
        <w:rPr>
          <w:rFonts w:eastAsia="Calibri" w:cs="Times New Roman"/>
          <w:szCs w:val="24"/>
        </w:rPr>
        <w:t xml:space="preserve"> wyprzedającego finansowania ze środków budżetu państwa do wysokości 100% kosztów kwalifikowalnych objętych pomocą. </w:t>
      </w:r>
      <w:r w:rsidR="00612C46">
        <w:t>PGW WP</w:t>
      </w:r>
      <w:r w:rsidRPr="00117FC4">
        <w:t xml:space="preserve"> są państwową osoba prawną w rozumieniu art. 9 pkt 14 ustawy z</w:t>
      </w:r>
      <w:r w:rsidR="00612C46">
        <w:t> </w:t>
      </w:r>
      <w:r w:rsidRPr="00117FC4">
        <w:t xml:space="preserve"> dnia 27 sierpnia 2009 r. o finansach </w:t>
      </w:r>
      <w:r w:rsidRPr="00117FC4">
        <w:rPr>
          <w:rFonts w:eastAsia="Calibri" w:cs="Times New Roman"/>
          <w:szCs w:val="24"/>
        </w:rPr>
        <w:t>publicznych (Dz. U. z 2021 r. poz. 305),</w:t>
      </w:r>
      <w:r w:rsidRPr="00117FC4">
        <w:t xml:space="preserve"> w</w:t>
      </w:r>
      <w:r w:rsidR="00612C46">
        <w:t> </w:t>
      </w:r>
      <w:r w:rsidRPr="00117FC4">
        <w:t xml:space="preserve"> przedmiotowym projekcie zmiany proponuje się przekazywanie na wyprzedające finansowanie dotacji celowej z części nr 22 budżetu państwa </w:t>
      </w:r>
      <w:r w:rsidR="00826F7B" w:rsidRPr="00117FC4">
        <w:t>–</w:t>
      </w:r>
      <w:r w:rsidR="00B17889" w:rsidRPr="00117FC4">
        <w:t xml:space="preserve"> Gospodarka wodna, której dysponentem jest Minister Infrastruktury, </w:t>
      </w:r>
      <w:r w:rsidRPr="00117FC4">
        <w:t>na zasadach określonych w przepisach ustawy o</w:t>
      </w:r>
      <w:r w:rsidR="00612C46">
        <w:t> </w:t>
      </w:r>
      <w:r w:rsidRPr="00117FC4">
        <w:t xml:space="preserve"> finansach publicznych. Biorąc pod uwagę stosunkowo krótki okres realizacji operacji w</w:t>
      </w:r>
      <w:r w:rsidR="00612C46">
        <w:t> </w:t>
      </w:r>
      <w:r w:rsidRPr="00117FC4">
        <w:t xml:space="preserve"> ramach ww. obszaru wsparcia (połowa 2022 </w:t>
      </w:r>
      <w:r w:rsidR="0098763D" w:rsidRPr="00117FC4">
        <w:t>r.</w:t>
      </w:r>
      <w:r w:rsidRPr="00117FC4">
        <w:t>– połowa 2025 r.) oraz charakter pomocy (</w:t>
      </w:r>
      <w:r w:rsidRPr="00117FC4">
        <w:rPr>
          <w:szCs w:val="24"/>
        </w:rPr>
        <w:t>refundacja przez agencję płatniczą poniesionych wydatków) niezwykle istotne jest zapewnienie płynnej realizacji inwestycji. Stabilne źródło finansowania w postaci wyprzedzającego finansowania 100% kosztów kwalifikowalnych operacji umożliwi ww. płynność</w:t>
      </w:r>
      <w:r w:rsidRPr="00117FC4">
        <w:rPr>
          <w:rFonts w:eastAsia="Times New Roman" w:cs="Times New Roman"/>
          <w:szCs w:val="24"/>
        </w:rPr>
        <w:t xml:space="preserve"> realizacji operacji. Ponadto beneficjent będzie mógł uzyskać promesy </w:t>
      </w:r>
      <w:r w:rsidR="00612C46">
        <w:rPr>
          <w:rFonts w:eastAsia="Times New Roman" w:cs="Times New Roman"/>
          <w:szCs w:val="24"/>
        </w:rPr>
        <w:t>m</w:t>
      </w:r>
      <w:r w:rsidRPr="00117FC4">
        <w:rPr>
          <w:rFonts w:eastAsia="Times New Roman" w:cs="Times New Roman"/>
          <w:szCs w:val="24"/>
        </w:rPr>
        <w:t xml:space="preserve">inistra </w:t>
      </w:r>
      <w:r w:rsidR="00612C46">
        <w:rPr>
          <w:rFonts w:eastAsia="Times New Roman" w:cs="Times New Roman"/>
          <w:szCs w:val="24"/>
        </w:rPr>
        <w:t>właściwego do spraw f</w:t>
      </w:r>
      <w:r w:rsidRPr="00117FC4">
        <w:rPr>
          <w:rFonts w:eastAsia="Times New Roman" w:cs="Times New Roman"/>
          <w:szCs w:val="24"/>
        </w:rPr>
        <w:t xml:space="preserve">inansów </w:t>
      </w:r>
      <w:r w:rsidR="00612C46">
        <w:rPr>
          <w:rFonts w:eastAsia="Times New Roman" w:cs="Times New Roman"/>
          <w:szCs w:val="24"/>
        </w:rPr>
        <w:t xml:space="preserve">publicznych </w:t>
      </w:r>
      <w:r w:rsidRPr="00117FC4">
        <w:rPr>
          <w:rFonts w:eastAsia="Times New Roman" w:cs="Times New Roman"/>
          <w:szCs w:val="24"/>
        </w:rPr>
        <w:t>o zapewnieniu dofinansowania realizacji przedsięwzięć ze środków budżetu państwa, co usprawni przeprowadzanie i rozstrzyganie postepowań przetargowych.</w:t>
      </w:r>
    </w:p>
    <w:p w14:paraId="49B43F00" w14:textId="1E6F8DA6" w:rsidR="002B6465" w:rsidRPr="00117FC4" w:rsidRDefault="007F5D92" w:rsidP="007F5D92">
      <w:pPr>
        <w:tabs>
          <w:tab w:val="left" w:pos="284"/>
        </w:tabs>
        <w:suppressAutoHyphens/>
        <w:autoSpaceDE/>
        <w:autoSpaceDN/>
        <w:adjustRightInd/>
        <w:spacing w:before="120"/>
        <w:contextualSpacing/>
        <w:jc w:val="both"/>
        <w:rPr>
          <w:rFonts w:eastAsia="Times New Roman" w:cs="Times New Roman"/>
          <w:szCs w:val="24"/>
        </w:rPr>
      </w:pPr>
      <w:r>
        <w:rPr>
          <w:rFonts w:eastAsia="Times New Roman" w:cs="Times New Roman"/>
          <w:szCs w:val="24"/>
        </w:rPr>
        <w:t xml:space="preserve">Zmiana ustawy projektowana w art. </w:t>
      </w:r>
      <w:r w:rsidR="008D3F26">
        <w:rPr>
          <w:rFonts w:eastAsia="Times New Roman" w:cs="Times New Roman"/>
          <w:szCs w:val="24"/>
        </w:rPr>
        <w:t>6</w:t>
      </w:r>
      <w:r>
        <w:rPr>
          <w:rFonts w:eastAsia="Times New Roman" w:cs="Times New Roman"/>
          <w:szCs w:val="24"/>
        </w:rPr>
        <w:t xml:space="preserve"> pkt 2 lit. a jest zmianą porządkującą. W ramach działań „T</w:t>
      </w:r>
      <w:r w:rsidRPr="007F5D92">
        <w:rPr>
          <w:rFonts w:eastAsia="Times New Roman" w:cs="Times New Roman"/>
          <w:szCs w:val="24"/>
        </w:rPr>
        <w:t>ransfer wi</w:t>
      </w:r>
      <w:r>
        <w:rPr>
          <w:rFonts w:eastAsia="Times New Roman" w:cs="Times New Roman"/>
          <w:szCs w:val="24"/>
        </w:rPr>
        <w:t>edzy i działalność informacyjna” oraz „U</w:t>
      </w:r>
      <w:r w:rsidRPr="007F5D92">
        <w:rPr>
          <w:rFonts w:eastAsia="Times New Roman" w:cs="Times New Roman"/>
          <w:szCs w:val="24"/>
        </w:rPr>
        <w:t>sługi doradcze, usługi z zakresu zarządzania gospodarstwem rolnym i usługi z zakresu zastępstw</w:t>
      </w:r>
      <w:r>
        <w:rPr>
          <w:rFonts w:eastAsia="Times New Roman" w:cs="Times New Roman"/>
          <w:szCs w:val="24"/>
        </w:rPr>
        <w:t>” j</w:t>
      </w:r>
      <w:r w:rsidRPr="007F5D92">
        <w:rPr>
          <w:rFonts w:eastAsia="Times New Roman" w:cs="Times New Roman"/>
          <w:szCs w:val="24"/>
        </w:rPr>
        <w:t xml:space="preserve">ednostki samorządu terytorialnego </w:t>
      </w:r>
      <w:r>
        <w:rPr>
          <w:rFonts w:eastAsia="Times New Roman" w:cs="Times New Roman"/>
          <w:szCs w:val="24"/>
        </w:rPr>
        <w:t>nie realizują żadnych</w:t>
      </w:r>
      <w:r w:rsidRPr="007F5D92">
        <w:rPr>
          <w:rFonts w:eastAsia="Times New Roman" w:cs="Times New Roman"/>
          <w:szCs w:val="24"/>
        </w:rPr>
        <w:t xml:space="preserve"> operacj</w:t>
      </w:r>
      <w:r>
        <w:rPr>
          <w:rFonts w:eastAsia="Times New Roman" w:cs="Times New Roman"/>
          <w:szCs w:val="24"/>
        </w:rPr>
        <w:t>i (nie mogą być beneficjentami)</w:t>
      </w:r>
      <w:r w:rsidRPr="007F5D92">
        <w:rPr>
          <w:rFonts w:eastAsia="Times New Roman" w:cs="Times New Roman"/>
          <w:szCs w:val="24"/>
        </w:rPr>
        <w:t>,</w:t>
      </w:r>
      <w:r>
        <w:rPr>
          <w:rFonts w:eastAsia="Times New Roman" w:cs="Times New Roman"/>
          <w:szCs w:val="24"/>
        </w:rPr>
        <w:t xml:space="preserve"> stąd w obecnym brzmieniu przepis umożliwiający wyprzedzające finansowanie dla tych podmiotów w ramach tych dwóch działań pozostaje przepisem martwym.</w:t>
      </w:r>
    </w:p>
    <w:p w14:paraId="22E1CAA1" w14:textId="3899DB05" w:rsidR="004644C1" w:rsidRPr="00117FC4" w:rsidRDefault="004644C1" w:rsidP="006522EF">
      <w:pPr>
        <w:suppressAutoHyphens/>
        <w:autoSpaceDE/>
        <w:autoSpaceDN/>
        <w:adjustRightInd/>
        <w:spacing w:before="120"/>
        <w:jc w:val="both"/>
        <w:rPr>
          <w:rFonts w:eastAsia="Times New Roman"/>
        </w:rPr>
      </w:pPr>
      <w:r w:rsidRPr="00117FC4">
        <w:rPr>
          <w:rFonts w:eastAsia="Calibri" w:cs="Times New Roman"/>
          <w:szCs w:val="24"/>
        </w:rPr>
        <w:t xml:space="preserve">Zmiana ustawy projektowana w art. </w:t>
      </w:r>
      <w:r w:rsidR="008D3F26">
        <w:rPr>
          <w:rFonts w:eastAsia="Calibri" w:cs="Times New Roman"/>
          <w:szCs w:val="24"/>
        </w:rPr>
        <w:t>6</w:t>
      </w:r>
      <w:r w:rsidR="006522EF" w:rsidRPr="00117FC4">
        <w:rPr>
          <w:rFonts w:eastAsia="Calibri" w:cs="Times New Roman"/>
          <w:szCs w:val="24"/>
        </w:rPr>
        <w:t xml:space="preserve"> </w:t>
      </w:r>
      <w:r w:rsidRPr="00117FC4">
        <w:rPr>
          <w:rFonts w:eastAsia="Calibri" w:cs="Times New Roman"/>
          <w:szCs w:val="24"/>
        </w:rPr>
        <w:t xml:space="preserve">pkt 2 lit </w:t>
      </w:r>
      <w:r w:rsidR="002B6465">
        <w:rPr>
          <w:rFonts w:eastAsia="Calibri" w:cs="Times New Roman"/>
          <w:szCs w:val="24"/>
        </w:rPr>
        <w:t>b</w:t>
      </w:r>
      <w:r w:rsidRPr="00117FC4">
        <w:rPr>
          <w:rFonts w:eastAsia="Calibri" w:cs="Times New Roman"/>
          <w:szCs w:val="24"/>
        </w:rPr>
        <w:t xml:space="preserve"> przewiduje wprowadzenie możliwości wsparcia LGD w formie udzielenia wyprzedzającego finansowania kosztów kwalifikowalnych operacji, nie tylko jak dotychczas w ramach projektów grantowych, ale także w ramach operacji własnych oraz przygotowania i realizacji działań w zakresie współpracy z lokalną grupą działania. Spowolnione przez panującą </w:t>
      </w:r>
      <w:r w:rsidR="000948B4" w:rsidRPr="00117FC4">
        <w:rPr>
          <w:rFonts w:eastAsia="Calibri" w:cs="Times New Roman"/>
          <w:szCs w:val="24"/>
        </w:rPr>
        <w:t xml:space="preserve">epidemię </w:t>
      </w:r>
      <w:r w:rsidRPr="00117FC4">
        <w:rPr>
          <w:rFonts w:eastAsia="Calibri" w:cs="Times New Roman"/>
          <w:szCs w:val="24"/>
        </w:rPr>
        <w:t>tempo wdrażania strategii LSR powoduje, iż</w:t>
      </w:r>
      <w:r w:rsidR="00E251C9">
        <w:rPr>
          <w:rFonts w:eastAsia="Calibri" w:cs="Times New Roman"/>
          <w:szCs w:val="24"/>
        </w:rPr>
        <w:t> </w:t>
      </w:r>
      <w:r w:rsidRPr="00117FC4">
        <w:rPr>
          <w:rFonts w:eastAsia="Calibri" w:cs="Times New Roman"/>
          <w:szCs w:val="24"/>
        </w:rPr>
        <w:t xml:space="preserve"> kondycja finansowa LGD jest gorsza od zakładanej. Dodatkowe możliwości zasilenia budżetu LGD w ramach prowadzonej przez nie odpłatnej działalności statutowej również są mocno ograniczone przez </w:t>
      </w:r>
      <w:r w:rsidR="000948B4" w:rsidRPr="00117FC4">
        <w:rPr>
          <w:rFonts w:eastAsia="Calibri" w:cs="Times New Roman"/>
          <w:szCs w:val="24"/>
        </w:rPr>
        <w:t>epidemię</w:t>
      </w:r>
      <w:r w:rsidRPr="00117FC4">
        <w:rPr>
          <w:rFonts w:eastAsia="Calibri" w:cs="Times New Roman"/>
          <w:szCs w:val="24"/>
        </w:rPr>
        <w:t xml:space="preserve">. Dodatkowo powiększony dwukrotnie limit pomocy na realizację operacji w ramach poddziałania, o którym mowa w art. 3 ust. 1 pkt 14 lit c </w:t>
      </w:r>
      <w:r w:rsidRPr="00117FC4">
        <w:rPr>
          <w:rFonts w:eastAsia="Times New Roman"/>
          <w:szCs w:val="24"/>
        </w:rPr>
        <w:t>ustawy o</w:t>
      </w:r>
      <w:r w:rsidR="00274300">
        <w:rPr>
          <w:rFonts w:eastAsia="Times New Roman"/>
          <w:szCs w:val="24"/>
        </w:rPr>
        <w:t> </w:t>
      </w:r>
      <w:r w:rsidRPr="00117FC4">
        <w:rPr>
          <w:rFonts w:eastAsia="Times New Roman"/>
          <w:szCs w:val="24"/>
        </w:rPr>
        <w:t xml:space="preserve"> PROW 2014–2020</w:t>
      </w:r>
      <w:r w:rsidRPr="00117FC4">
        <w:rPr>
          <w:rFonts w:eastAsia="Calibri" w:cs="Times New Roman"/>
          <w:szCs w:val="24"/>
        </w:rPr>
        <w:t xml:space="preserve">, w obecnych warunkach stanowi dla LGD dodatkowe wyzwanie </w:t>
      </w:r>
      <w:r w:rsidRPr="00117FC4">
        <w:rPr>
          <w:rFonts w:eastAsia="Calibri" w:cs="Times New Roman"/>
          <w:szCs w:val="24"/>
        </w:rPr>
        <w:lastRenderedPageBreak/>
        <w:t xml:space="preserve">dotyczące zapewnienia odpowiedniej </w:t>
      </w:r>
      <w:r w:rsidR="008C089F" w:rsidRPr="00117FC4">
        <w:rPr>
          <w:rFonts w:eastAsia="Calibri" w:cs="Times New Roman"/>
          <w:szCs w:val="24"/>
        </w:rPr>
        <w:t xml:space="preserve">kwoty </w:t>
      </w:r>
      <w:r w:rsidRPr="00117FC4">
        <w:rPr>
          <w:rFonts w:eastAsia="Calibri" w:cs="Times New Roman"/>
          <w:szCs w:val="24"/>
        </w:rPr>
        <w:t xml:space="preserve">środków umożliwiających realizację operacji. Wyrazem tej sytuacji są prośby LGD, z których wynika, że cześć LGD bez dodatkowego wsparcia w postaci udzielonej pożyczki z BGK nie będą w stanie zrealizować operacji. Mając na uwadze powyższe oraz wzrost kosztów realizacji operacji konieczne wydaje się umożliwienie pozyskania pożyczki z BGK na wyprzedzające finansowanie kosztów także na pozostałe rodzaje operacji. </w:t>
      </w:r>
      <w:r w:rsidR="008C089F" w:rsidRPr="00117FC4">
        <w:rPr>
          <w:rFonts w:eastAsia="Calibri" w:cs="Times New Roman"/>
          <w:szCs w:val="24"/>
        </w:rPr>
        <w:t xml:space="preserve">Celem takiego rozwiązania jest pomoc </w:t>
      </w:r>
      <w:r w:rsidRPr="00117FC4">
        <w:rPr>
          <w:rFonts w:eastAsia="Calibri" w:cs="Times New Roman"/>
          <w:szCs w:val="24"/>
        </w:rPr>
        <w:t xml:space="preserve">LGD w intensyfikowaniu prac nad wdrożeniem strategii. </w:t>
      </w:r>
      <w:r w:rsidRPr="00117FC4">
        <w:rPr>
          <w:rFonts w:eastAsia="Times New Roman"/>
        </w:rPr>
        <w:t>Wejście w życie projektowanej ustawy, w zakresie zmian ustawy o finansowaniu wspólnej polityki rolnej, będzie miało pozytywny wpływ na sytuację gospodarczą. Dzięki możliwości wcześniejszego skorzystania ze środków unijnych i</w:t>
      </w:r>
      <w:r w:rsidR="00306E7D">
        <w:rPr>
          <w:rFonts w:eastAsia="Times New Roman"/>
        </w:rPr>
        <w:t> </w:t>
      </w:r>
      <w:r w:rsidRPr="00117FC4">
        <w:rPr>
          <w:rFonts w:eastAsia="Times New Roman"/>
        </w:rPr>
        <w:t xml:space="preserve"> krajowych, przeznaczonych na PROW 2014–2020 możliwe będzie zwiększenie m.in. aktywizacji społeczności wiejskich w</w:t>
      </w:r>
      <w:r w:rsidR="00E251C9">
        <w:rPr>
          <w:rFonts w:eastAsia="Times New Roman"/>
        </w:rPr>
        <w:t> </w:t>
      </w:r>
      <w:r w:rsidRPr="00117FC4">
        <w:rPr>
          <w:rFonts w:eastAsia="Times New Roman"/>
        </w:rPr>
        <w:t xml:space="preserve"> ramach lokalnych grup działania, które nie będą zmuszone do oczekiwania na refundację poniesionych wydatków z agencji płatniczej. Takie działanie wzmocni zarówno pozycję LGD, szczególnie przyczyni się do zniwelowania negatywnych następstw ekonomicznych, jakie niesie za sobą trwający obecnie stan epidemii. Należy zauważyć, że beneficjenci mają problem z pokryciem kosztów operacji z własnych środków, co szczególnie może być odczuwalne w obecnej, trudnej sytuacji ekonomicznej potencjalnych beneficjentów działania, spowodowanej ogólnogospodarczym kryzysem będącym bezpośrednim skutkiem epidemii SARS-Cov-2. </w:t>
      </w:r>
    </w:p>
    <w:p w14:paraId="4B273DFB" w14:textId="77777777" w:rsidR="004644C1" w:rsidRDefault="004644C1" w:rsidP="006522EF">
      <w:pPr>
        <w:spacing w:before="120"/>
        <w:jc w:val="both"/>
        <w:rPr>
          <w:rFonts w:eastAsia="Times New Roman"/>
        </w:rPr>
      </w:pPr>
      <w:r w:rsidRPr="00117FC4">
        <w:rPr>
          <w:rFonts w:eastAsia="Times New Roman"/>
        </w:rPr>
        <w:t xml:space="preserve">Celem LGD realizujących operacje w ramach poddziałania </w:t>
      </w:r>
      <w:r w:rsidR="00E251C9">
        <w:rPr>
          <w:rFonts w:eastAsia="Times New Roman"/>
        </w:rPr>
        <w:t>„</w:t>
      </w:r>
      <w:r w:rsidRPr="00117FC4">
        <w:rPr>
          <w:rFonts w:eastAsia="Times New Roman"/>
        </w:rPr>
        <w:t>Przygotowanie i realizacja działań w zakresie współpracy z lokalną grupą działania</w:t>
      </w:r>
      <w:r w:rsidR="00E251C9">
        <w:rPr>
          <w:rFonts w:eastAsia="Times New Roman"/>
        </w:rPr>
        <w:t>”</w:t>
      </w:r>
      <w:r w:rsidRPr="00117FC4">
        <w:rPr>
          <w:rFonts w:eastAsia="Times New Roman"/>
        </w:rPr>
        <w:t>, jest wspieranie podmiotów lokalnych w</w:t>
      </w:r>
      <w:r w:rsidR="00E251C9">
        <w:rPr>
          <w:rFonts w:eastAsia="Times New Roman"/>
        </w:rPr>
        <w:t> </w:t>
      </w:r>
      <w:r w:rsidRPr="00117FC4">
        <w:rPr>
          <w:rFonts w:eastAsia="Times New Roman"/>
        </w:rPr>
        <w:t xml:space="preserve"> zwiększaniu potencjału ich obszarów, np.: przyciąganie nowych partnerów biznesowych, a</w:t>
      </w:r>
      <w:r w:rsidR="00E251C9">
        <w:rPr>
          <w:rFonts w:eastAsia="Times New Roman"/>
        </w:rPr>
        <w:t> </w:t>
      </w:r>
      <w:r w:rsidRPr="00117FC4">
        <w:rPr>
          <w:rFonts w:eastAsia="Times New Roman"/>
        </w:rPr>
        <w:t xml:space="preserve"> także rozpowszechnianie innowacji, know-how czy nowych umiejętności. Oprócz potencjalnych korzyści płynących ze współpracy międzyterytorialnej (na obszarze państwa członkowskiego) międzynarodowa współpraca wnosi także dodatkową europejską wartość dodaną do rozwoju lokalnego. Współpraca może przebiegać na różnych płaszczyznach, począwszy od wymiany doświadczeń i przenoszenia obiecujących praktyk, a skończywszy na</w:t>
      </w:r>
      <w:r w:rsidR="00306E7D">
        <w:rPr>
          <w:rFonts w:eastAsia="Times New Roman"/>
        </w:rPr>
        <w:t> </w:t>
      </w:r>
      <w:r w:rsidRPr="00117FC4">
        <w:rPr>
          <w:rFonts w:eastAsia="Times New Roman"/>
        </w:rPr>
        <w:t xml:space="preserve"> wspólnych działaniach. Tym samym projekty mogą być nastawione na szeroki wachlarz działań. Pozwoli to zmaksymalizować wartość dodaną współpracy w kontekście potrzeb rozwojowych lokalnych interesariuszy na obszarze działania LGD.</w:t>
      </w:r>
    </w:p>
    <w:p w14:paraId="3B81A891" w14:textId="77777777" w:rsidR="007F5D92" w:rsidRPr="00117FC4" w:rsidRDefault="007F5D92" w:rsidP="006522EF">
      <w:pPr>
        <w:spacing w:before="120"/>
        <w:jc w:val="both"/>
        <w:rPr>
          <w:rFonts w:eastAsia="Calibri" w:cs="Times New Roman"/>
          <w:b/>
          <w:szCs w:val="24"/>
        </w:rPr>
      </w:pPr>
      <w:r>
        <w:rPr>
          <w:rFonts w:eastAsia="Times New Roman"/>
        </w:rPr>
        <w:t xml:space="preserve">Jednocześnie, z uwagi na propozycję umożliwienia </w:t>
      </w:r>
      <w:r w:rsidRPr="007F5D92">
        <w:rPr>
          <w:rFonts w:eastAsia="Times New Roman"/>
        </w:rPr>
        <w:t>uruchomienia wyprzedzającego finansowania kolejnym beneficjentom PROW 2014–2020</w:t>
      </w:r>
      <w:r>
        <w:rPr>
          <w:rFonts w:eastAsia="Times New Roman"/>
        </w:rPr>
        <w:t>, realizującym operacje takż</w:t>
      </w:r>
      <w:r w:rsidR="00D11890">
        <w:rPr>
          <w:rFonts w:eastAsia="Times New Roman"/>
        </w:rPr>
        <w:t>e w </w:t>
      </w:r>
      <w:r>
        <w:rPr>
          <w:rFonts w:eastAsia="Times New Roman"/>
        </w:rPr>
        <w:t>ramach działań, w których nie identyfikuje się kosztów kwalifikowalnych,</w:t>
      </w:r>
      <w:r w:rsidR="00352977">
        <w:rPr>
          <w:rFonts w:eastAsia="Times New Roman"/>
        </w:rPr>
        <w:t xml:space="preserve"> zaproponowano </w:t>
      </w:r>
      <w:r w:rsidR="005F467B">
        <w:rPr>
          <w:rFonts w:eastAsia="Times New Roman"/>
        </w:rPr>
        <w:t xml:space="preserve">w ustawie </w:t>
      </w:r>
      <w:r w:rsidR="00352977">
        <w:rPr>
          <w:rFonts w:eastAsia="Times New Roman"/>
        </w:rPr>
        <w:t xml:space="preserve">zastąpienie pojęcia „wyprzedzające finansowanie kosztów kwalifikowalnych” </w:t>
      </w:r>
      <w:r w:rsidR="00352977">
        <w:rPr>
          <w:rFonts w:eastAsia="Times New Roman"/>
        </w:rPr>
        <w:lastRenderedPageBreak/>
        <w:t xml:space="preserve">pojęciem szerszym, jakim jest „wyprzedzające finansowanie </w:t>
      </w:r>
      <w:r w:rsidR="004A7D18">
        <w:rPr>
          <w:rFonts w:eastAsia="Times New Roman"/>
        </w:rPr>
        <w:t>pomocy</w:t>
      </w:r>
      <w:r w:rsidR="00352977">
        <w:rPr>
          <w:rFonts w:eastAsia="Times New Roman"/>
        </w:rPr>
        <w:t xml:space="preserve">”. </w:t>
      </w:r>
      <w:r w:rsidR="005F467B">
        <w:rPr>
          <w:rFonts w:eastAsia="Times New Roman"/>
        </w:rPr>
        <w:t>Część</w:t>
      </w:r>
      <w:r w:rsidR="00D11890">
        <w:rPr>
          <w:rFonts w:eastAsia="Times New Roman"/>
        </w:rPr>
        <w:t xml:space="preserve"> działa</w:t>
      </w:r>
      <w:r w:rsidR="005F467B">
        <w:rPr>
          <w:rFonts w:eastAsia="Times New Roman"/>
        </w:rPr>
        <w:t>ń rozliczana jest</w:t>
      </w:r>
      <w:r w:rsidR="00D11890">
        <w:rPr>
          <w:rFonts w:eastAsia="Times New Roman"/>
        </w:rPr>
        <w:t xml:space="preserve"> za pomocą kosztów uproszczonych lub wdrażan</w:t>
      </w:r>
      <w:r w:rsidR="005F467B">
        <w:rPr>
          <w:rFonts w:eastAsia="Times New Roman"/>
        </w:rPr>
        <w:t>a</w:t>
      </w:r>
      <w:r w:rsidR="00D11890">
        <w:rPr>
          <w:rFonts w:eastAsia="Times New Roman"/>
        </w:rPr>
        <w:t xml:space="preserve"> za pośrednictwem zamówień publicznych, zgodnie z art. 77 </w:t>
      </w:r>
      <w:r w:rsidR="00FF4DB9">
        <w:rPr>
          <w:rFonts w:eastAsia="Times New Roman"/>
        </w:rPr>
        <w:t>r</w:t>
      </w:r>
      <w:r w:rsidR="00D11890">
        <w:rPr>
          <w:rFonts w:eastAsia="Times New Roman"/>
          <w:szCs w:val="24"/>
        </w:rPr>
        <w:t>ozporządzenia</w:t>
      </w:r>
      <w:r w:rsidR="00D11890" w:rsidRPr="00117FC4">
        <w:rPr>
          <w:rFonts w:eastAsia="Times New Roman"/>
          <w:szCs w:val="24"/>
        </w:rPr>
        <w:t xml:space="preserve"> </w:t>
      </w:r>
      <w:r w:rsidR="00D11890">
        <w:rPr>
          <w:rFonts w:eastAsia="Calibri" w:cs="Times New Roman"/>
          <w:szCs w:val="24"/>
          <w:lang w:eastAsia="en-US"/>
        </w:rPr>
        <w:t xml:space="preserve">(UE) nr 1303/2013. </w:t>
      </w:r>
      <w:r w:rsidR="00352977">
        <w:rPr>
          <w:rFonts w:eastAsia="Times New Roman"/>
        </w:rPr>
        <w:t xml:space="preserve">Należy podkreślić, </w:t>
      </w:r>
      <w:r w:rsidR="00367C52">
        <w:rPr>
          <w:rFonts w:eastAsia="Times New Roman"/>
        </w:rPr>
        <w:t>że</w:t>
      </w:r>
      <w:r w:rsidR="00FF4DB9">
        <w:rPr>
          <w:rFonts w:eastAsia="Times New Roman"/>
        </w:rPr>
        <w:t> </w:t>
      </w:r>
      <w:r w:rsidR="00D11890">
        <w:rPr>
          <w:rFonts w:eastAsia="Times New Roman"/>
        </w:rPr>
        <w:t xml:space="preserve"> mechanizm wyprzedzającego finansowania pozost</w:t>
      </w:r>
      <w:r w:rsidR="005F467B">
        <w:rPr>
          <w:rFonts w:eastAsia="Times New Roman"/>
        </w:rPr>
        <w:t>aje bez zmian i </w:t>
      </w:r>
      <w:r w:rsidR="00D11890">
        <w:rPr>
          <w:rFonts w:eastAsia="Times New Roman"/>
        </w:rPr>
        <w:t>nadal dotyczy</w:t>
      </w:r>
      <w:r w:rsidR="005F467B">
        <w:rPr>
          <w:rFonts w:eastAsia="Times New Roman"/>
        </w:rPr>
        <w:t xml:space="preserve"> w</w:t>
      </w:r>
      <w:r w:rsidR="00367C52">
        <w:rPr>
          <w:rFonts w:eastAsia="Times New Roman"/>
        </w:rPr>
        <w:t>y</w:t>
      </w:r>
      <w:r w:rsidR="005F467B">
        <w:rPr>
          <w:rFonts w:eastAsia="Times New Roman"/>
        </w:rPr>
        <w:t>ł</w:t>
      </w:r>
      <w:r w:rsidR="00367C52">
        <w:rPr>
          <w:rFonts w:eastAsia="Times New Roman"/>
        </w:rPr>
        <w:t>ącznie</w:t>
      </w:r>
      <w:r w:rsidR="00D11890">
        <w:rPr>
          <w:rFonts w:eastAsia="Times New Roman"/>
        </w:rPr>
        <w:t xml:space="preserve"> </w:t>
      </w:r>
      <w:r w:rsidR="00367C52">
        <w:rPr>
          <w:rFonts w:eastAsia="Times New Roman"/>
        </w:rPr>
        <w:t xml:space="preserve">wydatków </w:t>
      </w:r>
      <w:r w:rsidR="00D11890">
        <w:rPr>
          <w:rFonts w:eastAsia="Times New Roman"/>
        </w:rPr>
        <w:t>kwalifikowalnych.</w:t>
      </w:r>
      <w:r w:rsidR="005F467B">
        <w:rPr>
          <w:rFonts w:eastAsia="Times New Roman"/>
        </w:rPr>
        <w:t xml:space="preserve"> Art. 13 ust. </w:t>
      </w:r>
      <w:r w:rsidR="005F467B" w:rsidRPr="005F467B">
        <w:rPr>
          <w:rFonts w:eastAsia="Times New Roman"/>
        </w:rPr>
        <w:t>3</w:t>
      </w:r>
      <w:r w:rsidR="005F467B">
        <w:rPr>
          <w:rFonts w:eastAsia="Times New Roman"/>
        </w:rPr>
        <w:t xml:space="preserve"> oraz art. 18 ust. 2 pkt 4 ustawy o finansowaniu wspólnej polityki rolnej stanowią bowiem, że środki z budżetu państwa </w:t>
      </w:r>
      <w:r w:rsidR="005F467B" w:rsidRPr="005F467B">
        <w:rPr>
          <w:rFonts w:eastAsia="Times New Roman"/>
        </w:rPr>
        <w:t xml:space="preserve">mogą być przekazane </w:t>
      </w:r>
      <w:r w:rsidR="005F467B">
        <w:rPr>
          <w:rFonts w:eastAsia="Times New Roman"/>
        </w:rPr>
        <w:t>„</w:t>
      </w:r>
      <w:r w:rsidR="005F467B" w:rsidRPr="005F467B">
        <w:rPr>
          <w:rFonts w:eastAsia="Times New Roman"/>
        </w:rPr>
        <w:t>do wysokości wkładu EFRROW</w:t>
      </w:r>
      <w:r w:rsidR="005F467B">
        <w:rPr>
          <w:rFonts w:eastAsia="Times New Roman"/>
        </w:rPr>
        <w:t>” (pożyczka z BGK) albo „we </w:t>
      </w:r>
      <w:r w:rsidR="005F467B" w:rsidRPr="005F467B">
        <w:rPr>
          <w:rFonts w:eastAsia="Times New Roman"/>
        </w:rPr>
        <w:t>wnioskowanej wysokości, nie wyższej jednak od wysokości udziału krajowych środków publicznych pochodzących z</w:t>
      </w:r>
      <w:r w:rsidR="00FF4DB9">
        <w:rPr>
          <w:rFonts w:eastAsia="Times New Roman"/>
        </w:rPr>
        <w:t> </w:t>
      </w:r>
      <w:r w:rsidR="005F467B" w:rsidRPr="005F467B">
        <w:rPr>
          <w:rFonts w:eastAsia="Times New Roman"/>
        </w:rPr>
        <w:t xml:space="preserve"> budżetu państwa przeznaczonych na współfinansowanie kosztów realizowanych z</w:t>
      </w:r>
      <w:r w:rsidR="00172998">
        <w:rPr>
          <w:rFonts w:eastAsia="Times New Roman"/>
        </w:rPr>
        <w:t> </w:t>
      </w:r>
      <w:r w:rsidR="005F467B" w:rsidRPr="005F467B">
        <w:rPr>
          <w:rFonts w:eastAsia="Times New Roman"/>
        </w:rPr>
        <w:t xml:space="preserve"> EFRROW</w:t>
      </w:r>
      <w:r w:rsidR="005F467B">
        <w:rPr>
          <w:rFonts w:eastAsia="Times New Roman"/>
        </w:rPr>
        <w:t>” (wyprzedzające finansowanie z ARiMR).</w:t>
      </w:r>
    </w:p>
    <w:p w14:paraId="782C891B" w14:textId="5C409521" w:rsidR="008C089F" w:rsidRPr="00117FC4" w:rsidRDefault="008C089F" w:rsidP="00096E61">
      <w:pPr>
        <w:spacing w:before="120"/>
        <w:jc w:val="both"/>
        <w:rPr>
          <w:rFonts w:eastAsia="Calibri" w:cs="Times New Roman"/>
          <w:bCs/>
          <w:szCs w:val="24"/>
        </w:rPr>
      </w:pPr>
      <w:r w:rsidRPr="00117FC4">
        <w:rPr>
          <w:rFonts w:eastAsia="Calibri" w:cs="Times New Roman"/>
          <w:bCs/>
          <w:szCs w:val="24"/>
        </w:rPr>
        <w:t xml:space="preserve">W art. </w:t>
      </w:r>
      <w:r w:rsidR="008D3F26">
        <w:rPr>
          <w:rFonts w:eastAsia="Calibri" w:cs="Times New Roman"/>
          <w:bCs/>
          <w:szCs w:val="24"/>
        </w:rPr>
        <w:t>6</w:t>
      </w:r>
      <w:r w:rsidR="006522EF" w:rsidRPr="00117FC4">
        <w:rPr>
          <w:rFonts w:eastAsia="Calibri" w:cs="Times New Roman"/>
          <w:bCs/>
          <w:szCs w:val="24"/>
        </w:rPr>
        <w:t xml:space="preserve"> </w:t>
      </w:r>
      <w:r w:rsidRPr="00117FC4">
        <w:rPr>
          <w:rFonts w:eastAsia="Calibri" w:cs="Times New Roman"/>
          <w:bCs/>
          <w:szCs w:val="24"/>
        </w:rPr>
        <w:t xml:space="preserve">pkt 2 lit. </w:t>
      </w:r>
      <w:r w:rsidR="007F5D92">
        <w:rPr>
          <w:rFonts w:eastAsia="Calibri" w:cs="Times New Roman"/>
          <w:bCs/>
          <w:szCs w:val="24"/>
        </w:rPr>
        <w:t>c</w:t>
      </w:r>
      <w:r w:rsidRPr="00117FC4">
        <w:rPr>
          <w:rFonts w:eastAsia="Calibri" w:cs="Times New Roman"/>
          <w:bCs/>
          <w:szCs w:val="24"/>
        </w:rPr>
        <w:t xml:space="preserve"> oraz w art. </w:t>
      </w:r>
      <w:r w:rsidR="008D3F26">
        <w:rPr>
          <w:rFonts w:eastAsia="Calibri" w:cs="Times New Roman"/>
          <w:bCs/>
          <w:szCs w:val="24"/>
        </w:rPr>
        <w:t>6</w:t>
      </w:r>
      <w:r w:rsidR="006522EF" w:rsidRPr="00117FC4">
        <w:rPr>
          <w:rFonts w:eastAsia="Calibri" w:cs="Times New Roman"/>
          <w:bCs/>
          <w:szCs w:val="24"/>
        </w:rPr>
        <w:t xml:space="preserve"> </w:t>
      </w:r>
      <w:r w:rsidRPr="00117FC4">
        <w:rPr>
          <w:rFonts w:eastAsia="Calibri" w:cs="Times New Roman"/>
          <w:bCs/>
          <w:szCs w:val="24"/>
        </w:rPr>
        <w:t xml:space="preserve">pkt </w:t>
      </w:r>
      <w:r w:rsidR="00352977">
        <w:rPr>
          <w:rFonts w:eastAsia="Calibri" w:cs="Times New Roman"/>
          <w:bCs/>
          <w:szCs w:val="24"/>
        </w:rPr>
        <w:t>5</w:t>
      </w:r>
      <w:r w:rsidRPr="00117FC4">
        <w:rPr>
          <w:rFonts w:eastAsia="Calibri" w:cs="Times New Roman"/>
          <w:bCs/>
          <w:szCs w:val="24"/>
        </w:rPr>
        <w:t xml:space="preserve"> lit. a, zaproponowano wprowadzenie możliwości wypłaty wyprzedzającego współfinansowania przez Agencję Restrukturyzacji i Modernizacji Rolnictwa do wysokości wkładu krajowego oraz udzielenia pożyczki przez BGK do wysokości wkładu funduszu EFRROW dla jednostek doradztwa rolniczego działających na podstawie ustawy </w:t>
      </w:r>
      <w:r w:rsidR="006522EF" w:rsidRPr="00117FC4">
        <w:rPr>
          <w:rFonts w:eastAsia="Calibri" w:cs="Times New Roman"/>
          <w:bCs/>
          <w:szCs w:val="24"/>
        </w:rPr>
        <w:t>z</w:t>
      </w:r>
      <w:r w:rsidR="00E251C9">
        <w:rPr>
          <w:rFonts w:eastAsia="Calibri" w:cs="Times New Roman"/>
          <w:bCs/>
          <w:szCs w:val="24"/>
        </w:rPr>
        <w:t> </w:t>
      </w:r>
      <w:r w:rsidR="006522EF" w:rsidRPr="00117FC4">
        <w:rPr>
          <w:rFonts w:eastAsia="Calibri" w:cs="Times New Roman"/>
          <w:bCs/>
          <w:szCs w:val="24"/>
        </w:rPr>
        <w:t xml:space="preserve"> dnia 22 października 2004 r. </w:t>
      </w:r>
      <w:r w:rsidRPr="00117FC4">
        <w:rPr>
          <w:rFonts w:eastAsia="Calibri" w:cs="Times New Roman"/>
          <w:bCs/>
          <w:szCs w:val="24"/>
        </w:rPr>
        <w:t>o jednostkach doradztwa rolniczego (Dz.</w:t>
      </w:r>
      <w:r w:rsidR="006522EF">
        <w:rPr>
          <w:rFonts w:eastAsia="Calibri" w:cs="Times New Roman"/>
          <w:bCs/>
          <w:szCs w:val="24"/>
        </w:rPr>
        <w:t xml:space="preserve"> </w:t>
      </w:r>
      <w:r w:rsidRPr="00117FC4">
        <w:rPr>
          <w:rFonts w:eastAsia="Calibri" w:cs="Times New Roman"/>
          <w:bCs/>
          <w:szCs w:val="24"/>
        </w:rPr>
        <w:t xml:space="preserve">U. z 2020 r. poz.721) oraz instytutów badawczych w rozumieniu ustawy </w:t>
      </w:r>
      <w:r w:rsidR="006522EF" w:rsidRPr="00117FC4">
        <w:rPr>
          <w:rFonts w:eastAsia="Calibri" w:cs="Times New Roman"/>
          <w:bCs/>
          <w:szCs w:val="24"/>
        </w:rPr>
        <w:t>z dnia 30 kwietnia 2010 r.</w:t>
      </w:r>
      <w:r w:rsidR="006522EF">
        <w:rPr>
          <w:rFonts w:eastAsia="Calibri" w:cs="Times New Roman"/>
          <w:bCs/>
          <w:szCs w:val="24"/>
        </w:rPr>
        <w:t xml:space="preserve"> </w:t>
      </w:r>
      <w:r w:rsidRPr="00117FC4">
        <w:rPr>
          <w:rFonts w:eastAsia="Calibri" w:cs="Times New Roman"/>
          <w:bCs/>
          <w:szCs w:val="24"/>
        </w:rPr>
        <w:t>o instytutach badawczych (Dz.</w:t>
      </w:r>
      <w:r w:rsidR="00E251C9">
        <w:rPr>
          <w:rFonts w:eastAsia="Calibri" w:cs="Times New Roman"/>
          <w:bCs/>
          <w:szCs w:val="24"/>
        </w:rPr>
        <w:t xml:space="preserve"> </w:t>
      </w:r>
      <w:r w:rsidRPr="00117FC4">
        <w:rPr>
          <w:rFonts w:eastAsia="Calibri" w:cs="Times New Roman"/>
          <w:bCs/>
          <w:szCs w:val="24"/>
        </w:rPr>
        <w:t>U. z 2020 r. poz. 1383)</w:t>
      </w:r>
      <w:r w:rsidR="007F5D92">
        <w:rPr>
          <w:rFonts w:eastAsia="Calibri" w:cs="Times New Roman"/>
          <w:bCs/>
          <w:szCs w:val="24"/>
        </w:rPr>
        <w:t>, a także uczelni</w:t>
      </w:r>
      <w:r w:rsidRPr="00117FC4">
        <w:rPr>
          <w:rFonts w:eastAsia="Calibri" w:cs="Times New Roman"/>
          <w:bCs/>
          <w:szCs w:val="24"/>
        </w:rPr>
        <w:t xml:space="preserve"> </w:t>
      </w:r>
      <w:r w:rsidR="000E0072">
        <w:rPr>
          <w:rFonts w:eastAsia="Calibri" w:cs="Times New Roman"/>
          <w:bCs/>
          <w:szCs w:val="24"/>
        </w:rPr>
        <w:t xml:space="preserve">w rozumieniu przepisów ustawy z  dnia 20 lipca 2018 r. </w:t>
      </w:r>
      <w:r w:rsidR="00B40B0E">
        <w:rPr>
          <w:rFonts w:eastAsia="Calibri" w:cs="Times New Roman"/>
          <w:bCs/>
          <w:szCs w:val="24"/>
        </w:rPr>
        <w:t xml:space="preserve">– </w:t>
      </w:r>
      <w:r w:rsidR="000E0072">
        <w:rPr>
          <w:rFonts w:eastAsia="Calibri" w:cs="Times New Roman"/>
          <w:bCs/>
          <w:szCs w:val="24"/>
        </w:rPr>
        <w:t xml:space="preserve">Prawo o szkolnictwie wyższym i nauce (Dz. U. poz. 478) </w:t>
      </w:r>
      <w:r w:rsidRPr="00117FC4">
        <w:rPr>
          <w:rFonts w:eastAsia="Calibri" w:cs="Times New Roman"/>
          <w:bCs/>
          <w:szCs w:val="24"/>
        </w:rPr>
        <w:t>– będących głównymi beneficjentami działań „Transfer wiedzy i działalność informacyjna”, „Usługi doradcze, usługi z zakresu zarządzania gospodarstwem rolnym i usługi z zakresu zastępstw”.</w:t>
      </w:r>
    </w:p>
    <w:p w14:paraId="5F94C71E" w14:textId="77777777" w:rsidR="008C089F" w:rsidRPr="00117FC4" w:rsidRDefault="008C089F" w:rsidP="008C089F">
      <w:pPr>
        <w:jc w:val="both"/>
      </w:pPr>
      <w:r w:rsidRPr="00117FC4">
        <w:t>Mając na uwadze zaangażowanie ww. jednostek w realizację często kilku operacji konieczność zapewnienia płynności w realizacji operacji oraz  długość procesu rozpatrywania wniosków o</w:t>
      </w:r>
      <w:r w:rsidR="00E251C9">
        <w:t> </w:t>
      </w:r>
      <w:r w:rsidRPr="00117FC4">
        <w:t xml:space="preserve"> płatność, zaproponowane  rozwiązanie ma zapewnić możliwość pozyskania środków na</w:t>
      </w:r>
      <w:r w:rsidR="00E251C9">
        <w:t> </w:t>
      </w:r>
      <w:r w:rsidRPr="00117FC4">
        <w:t xml:space="preserve"> realizację operacji. Zadania tych jednostek są w przeważającym zakresie finansowane ze</w:t>
      </w:r>
      <w:r w:rsidR="00E251C9">
        <w:t> </w:t>
      </w:r>
      <w:r w:rsidRPr="00117FC4">
        <w:t xml:space="preserve"> środków budżetu państwa, w związku z czym posiadają one bardzo ograniczone możliwości finansowania operacji ze środków własnych. Problemy związane z zapewnieniem płynności finansowej w realizacji operacji w ramach tych działań zgłaszane są przez jednostki doradztwa rolniczego oraz instytuty badawcze od początku wdrażania PROW 2014</w:t>
      </w:r>
      <w:r w:rsidRPr="00117FC4">
        <w:rPr>
          <w:rFonts w:eastAsia="Calibri" w:cs="Times New Roman"/>
          <w:bCs/>
          <w:szCs w:val="24"/>
        </w:rPr>
        <w:t>–</w:t>
      </w:r>
      <w:r w:rsidRPr="00117FC4">
        <w:t>2020. W obecnej sytuacji kryzysowej wywołanej epidemią problemy te są jeszcze bardziej wyraźne.</w:t>
      </w:r>
    </w:p>
    <w:p w14:paraId="69A7C2E8" w14:textId="77777777" w:rsidR="008C089F" w:rsidRPr="00117FC4" w:rsidRDefault="008C089F" w:rsidP="008C089F">
      <w:pPr>
        <w:jc w:val="both"/>
      </w:pPr>
      <w:r w:rsidRPr="00117FC4">
        <w:t xml:space="preserve">Powyższe działania PROW 2014–2020 ukierunkowane są na zapewnienie dostępności działań szkoleniowych i usług doradczych dla rolników, świadczonych przez odpowiednio przygotowanych doradców rolniczych. Ułatwienie realizacji działań szkoleniowych i usług doradczych pozytywnie wpłynie na zainteresowanie udziałem w Programie ww. podmiotów </w:t>
      </w:r>
      <w:r w:rsidRPr="00117FC4">
        <w:lastRenderedPageBreak/>
        <w:t>wykonujących działania szkoleniowe i doradcze.</w:t>
      </w:r>
    </w:p>
    <w:p w14:paraId="63ED2588" w14:textId="5FA8D98D" w:rsidR="008C089F" w:rsidRPr="00117FC4" w:rsidRDefault="00F51B95" w:rsidP="006522EF">
      <w:pPr>
        <w:spacing w:before="120"/>
        <w:jc w:val="both"/>
        <w:rPr>
          <w:rFonts w:eastAsia="Calibri" w:cs="Times New Roman"/>
          <w:bCs/>
          <w:szCs w:val="24"/>
        </w:rPr>
      </w:pPr>
      <w:r w:rsidRPr="00117FC4">
        <w:rPr>
          <w:rFonts w:eastAsia="Calibri" w:cs="Times New Roman"/>
          <w:bCs/>
          <w:szCs w:val="24"/>
        </w:rPr>
        <w:t xml:space="preserve">W art. </w:t>
      </w:r>
      <w:r w:rsidR="008D3F26">
        <w:rPr>
          <w:rFonts w:eastAsia="Calibri" w:cs="Times New Roman"/>
          <w:bCs/>
          <w:szCs w:val="24"/>
        </w:rPr>
        <w:t>6</w:t>
      </w:r>
      <w:r w:rsidR="006522EF" w:rsidRPr="00117FC4">
        <w:rPr>
          <w:rFonts w:eastAsia="Calibri" w:cs="Times New Roman"/>
          <w:bCs/>
          <w:szCs w:val="24"/>
        </w:rPr>
        <w:t xml:space="preserve"> </w:t>
      </w:r>
      <w:r w:rsidRPr="00117FC4">
        <w:rPr>
          <w:rFonts w:eastAsia="Calibri" w:cs="Times New Roman"/>
          <w:bCs/>
          <w:szCs w:val="24"/>
        </w:rPr>
        <w:t xml:space="preserve">pkt 2 lit. </w:t>
      </w:r>
      <w:r w:rsidR="00352977" w:rsidRPr="00306E7D">
        <w:rPr>
          <w:rFonts w:eastAsia="Calibri" w:cs="Times New Roman"/>
          <w:bCs/>
          <w:szCs w:val="24"/>
        </w:rPr>
        <w:t>c</w:t>
      </w:r>
      <w:r w:rsidRPr="00117FC4">
        <w:rPr>
          <w:rFonts w:eastAsia="Calibri" w:cs="Times New Roman"/>
          <w:bCs/>
          <w:szCs w:val="24"/>
        </w:rPr>
        <w:t xml:space="preserve"> proponuje się umożliwienie otrzymania wyprzedzającego finansowania dla beneficjentów działania </w:t>
      </w:r>
      <w:r w:rsidR="00E251C9">
        <w:rPr>
          <w:rFonts w:eastAsia="Calibri" w:cs="Times New Roman"/>
          <w:bCs/>
          <w:szCs w:val="24"/>
        </w:rPr>
        <w:t>„</w:t>
      </w:r>
      <w:r w:rsidRPr="00117FC4">
        <w:rPr>
          <w:rFonts w:eastAsia="Calibri" w:cs="Times New Roman"/>
          <w:bCs/>
          <w:szCs w:val="24"/>
        </w:rPr>
        <w:t>Współpraca</w:t>
      </w:r>
      <w:r w:rsidR="00E251C9">
        <w:rPr>
          <w:rFonts w:eastAsia="Calibri" w:cs="Times New Roman"/>
          <w:bCs/>
          <w:szCs w:val="24"/>
        </w:rPr>
        <w:t>” objętego</w:t>
      </w:r>
      <w:r w:rsidRPr="00117FC4">
        <w:rPr>
          <w:rFonts w:eastAsia="Calibri" w:cs="Times New Roman"/>
          <w:bCs/>
          <w:szCs w:val="24"/>
        </w:rPr>
        <w:t xml:space="preserve"> PROW 2014</w:t>
      </w:r>
      <w:r w:rsidRPr="00117FC4">
        <w:rPr>
          <w:rFonts w:eastAsia="Calibri" w:cs="Times New Roman"/>
          <w:bCs/>
          <w:szCs w:val="24"/>
        </w:rPr>
        <w:sym w:font="Symbol" w:char="F02D"/>
      </w:r>
      <w:r w:rsidRPr="00117FC4">
        <w:rPr>
          <w:rFonts w:eastAsia="Calibri" w:cs="Times New Roman"/>
          <w:bCs/>
          <w:szCs w:val="24"/>
        </w:rPr>
        <w:t>2020 w postaci pożyczki udzielonej przez BGK. Natomiast w</w:t>
      </w:r>
      <w:r w:rsidR="008C089F" w:rsidRPr="00117FC4">
        <w:rPr>
          <w:rFonts w:eastAsia="Calibri" w:cs="Times New Roman"/>
          <w:bCs/>
          <w:szCs w:val="24"/>
        </w:rPr>
        <w:t xml:space="preserve"> art. </w:t>
      </w:r>
      <w:r w:rsidR="008D3F26">
        <w:rPr>
          <w:rFonts w:eastAsia="Calibri" w:cs="Times New Roman"/>
          <w:bCs/>
          <w:szCs w:val="24"/>
        </w:rPr>
        <w:t>6</w:t>
      </w:r>
      <w:r w:rsidR="006522EF" w:rsidRPr="00117FC4">
        <w:rPr>
          <w:rFonts w:eastAsia="Calibri" w:cs="Times New Roman"/>
          <w:bCs/>
          <w:szCs w:val="24"/>
        </w:rPr>
        <w:t xml:space="preserve"> </w:t>
      </w:r>
      <w:r w:rsidRPr="00117FC4">
        <w:rPr>
          <w:rFonts w:eastAsia="Calibri" w:cs="Times New Roman"/>
          <w:bCs/>
          <w:szCs w:val="24"/>
        </w:rPr>
        <w:t xml:space="preserve">pkt </w:t>
      </w:r>
      <w:r w:rsidR="00352977">
        <w:rPr>
          <w:rFonts w:eastAsia="Calibri" w:cs="Times New Roman"/>
          <w:bCs/>
          <w:szCs w:val="24"/>
        </w:rPr>
        <w:t>5</w:t>
      </w:r>
      <w:r w:rsidR="00352977" w:rsidRPr="00117FC4">
        <w:rPr>
          <w:rFonts w:eastAsia="Calibri" w:cs="Times New Roman"/>
          <w:bCs/>
          <w:szCs w:val="24"/>
        </w:rPr>
        <w:t xml:space="preserve"> </w:t>
      </w:r>
      <w:r w:rsidRPr="00117FC4">
        <w:rPr>
          <w:rFonts w:eastAsia="Calibri" w:cs="Times New Roman"/>
          <w:bCs/>
          <w:szCs w:val="24"/>
        </w:rPr>
        <w:t>lit. a</w:t>
      </w:r>
      <w:r w:rsidR="008C089F" w:rsidRPr="00117FC4">
        <w:rPr>
          <w:rFonts w:eastAsia="Calibri" w:cs="Times New Roman"/>
          <w:bCs/>
          <w:szCs w:val="24"/>
        </w:rPr>
        <w:t xml:space="preserve">, również w działaniu </w:t>
      </w:r>
      <w:r w:rsidR="00E251C9">
        <w:rPr>
          <w:rFonts w:eastAsia="Calibri" w:cs="Times New Roman"/>
          <w:bCs/>
          <w:szCs w:val="24"/>
        </w:rPr>
        <w:t>„</w:t>
      </w:r>
      <w:r w:rsidR="008C089F" w:rsidRPr="00117FC4">
        <w:rPr>
          <w:rFonts w:eastAsia="Calibri" w:cs="Times New Roman"/>
          <w:bCs/>
          <w:szCs w:val="24"/>
        </w:rPr>
        <w:t>Współpraca</w:t>
      </w:r>
      <w:r w:rsidR="00E251C9">
        <w:rPr>
          <w:rFonts w:eastAsia="Calibri" w:cs="Times New Roman"/>
          <w:bCs/>
          <w:szCs w:val="24"/>
        </w:rPr>
        <w:t>”</w:t>
      </w:r>
      <w:r w:rsidR="008C089F" w:rsidRPr="00117FC4">
        <w:rPr>
          <w:rFonts w:eastAsia="Calibri" w:cs="Times New Roman"/>
          <w:bCs/>
          <w:szCs w:val="24"/>
        </w:rPr>
        <w:t xml:space="preserve"> przewidziano możliwość wyprzedzającego finansowania kosztów kwalifikowalnych ponoszonych na realizację operacji, z agencji płatniczej realizującej płatności z EFRROW do wysokości</w:t>
      </w:r>
      <w:r w:rsidRPr="00117FC4">
        <w:rPr>
          <w:rFonts w:eastAsia="Calibri" w:cs="Times New Roman"/>
          <w:bCs/>
          <w:szCs w:val="24"/>
        </w:rPr>
        <w:t xml:space="preserve"> </w:t>
      </w:r>
      <w:r w:rsidR="008C089F" w:rsidRPr="00117FC4">
        <w:rPr>
          <w:rFonts w:eastAsia="Calibri" w:cs="Times New Roman"/>
          <w:bCs/>
          <w:szCs w:val="24"/>
        </w:rPr>
        <w:t>wkładu krajowego</w:t>
      </w:r>
      <w:r w:rsidR="00BC3A7A">
        <w:rPr>
          <w:rFonts w:eastAsia="Calibri" w:cs="Times New Roman"/>
          <w:bCs/>
          <w:szCs w:val="24"/>
        </w:rPr>
        <w:t>,</w:t>
      </w:r>
      <w:r w:rsidR="008C089F" w:rsidRPr="00117FC4">
        <w:rPr>
          <w:rFonts w:eastAsia="Calibri" w:cs="Times New Roman"/>
          <w:bCs/>
          <w:szCs w:val="24"/>
        </w:rPr>
        <w:t xml:space="preserve"> przez </w:t>
      </w:r>
      <w:r w:rsidR="002E1E93">
        <w:rPr>
          <w:rFonts w:eastAsia="Calibri" w:cs="Times New Roman"/>
          <w:bCs/>
          <w:szCs w:val="24"/>
        </w:rPr>
        <w:t>beneficjentów tego działania</w:t>
      </w:r>
      <w:r w:rsidR="008C089F" w:rsidRPr="00117FC4">
        <w:rPr>
          <w:rFonts w:eastAsia="Calibri" w:cs="Times New Roman"/>
          <w:bCs/>
          <w:szCs w:val="24"/>
        </w:rPr>
        <w:t xml:space="preserve">. </w:t>
      </w:r>
      <w:r w:rsidR="004644C1" w:rsidRPr="00117FC4">
        <w:rPr>
          <w:rFonts w:eastAsia="Calibri" w:cs="Times New Roman"/>
          <w:bCs/>
          <w:szCs w:val="24"/>
        </w:rPr>
        <w:t xml:space="preserve">Z informacji przekazywanych przez brokerów innowacji zaangażowanych we wdrażanie działania </w:t>
      </w:r>
      <w:r w:rsidR="00E251C9">
        <w:rPr>
          <w:rFonts w:eastAsia="Calibri" w:cs="Times New Roman"/>
          <w:bCs/>
          <w:szCs w:val="24"/>
        </w:rPr>
        <w:t>„</w:t>
      </w:r>
      <w:r w:rsidR="004644C1" w:rsidRPr="00117FC4">
        <w:rPr>
          <w:rFonts w:eastAsia="Calibri" w:cs="Times New Roman"/>
          <w:bCs/>
          <w:szCs w:val="24"/>
        </w:rPr>
        <w:t>Współpraca</w:t>
      </w:r>
      <w:r w:rsidR="00E251C9">
        <w:rPr>
          <w:rFonts w:eastAsia="Calibri" w:cs="Times New Roman"/>
          <w:bCs/>
          <w:szCs w:val="24"/>
        </w:rPr>
        <w:t>”</w:t>
      </w:r>
      <w:r w:rsidR="004644C1" w:rsidRPr="00117FC4">
        <w:rPr>
          <w:rFonts w:eastAsia="Calibri" w:cs="Times New Roman"/>
          <w:bCs/>
          <w:szCs w:val="24"/>
        </w:rPr>
        <w:t xml:space="preserve"> oraz uwag zgłaszanych podczas prac legislacyjnych dotyczących kolejnych nowelizacji rozporządzenia dla ww. działania wynika potrzeba zapewnienia beneficjentom tego działania wyprzedzającego finansowania </w:t>
      </w:r>
      <w:r w:rsidR="007664D4" w:rsidRPr="00117FC4">
        <w:rPr>
          <w:rFonts w:eastAsia="Calibri" w:cs="Times New Roman"/>
          <w:bCs/>
          <w:szCs w:val="24"/>
        </w:rPr>
        <w:t>realizacji operacji</w:t>
      </w:r>
      <w:r w:rsidR="004644C1" w:rsidRPr="00117FC4">
        <w:rPr>
          <w:rFonts w:eastAsia="Calibri" w:cs="Times New Roman"/>
          <w:bCs/>
          <w:szCs w:val="24"/>
        </w:rPr>
        <w:t xml:space="preserve">. </w:t>
      </w:r>
      <w:r w:rsidR="008C089F" w:rsidRPr="00117FC4">
        <w:rPr>
          <w:rFonts w:eastAsia="Calibri" w:cs="Times New Roman"/>
          <w:bCs/>
          <w:szCs w:val="24"/>
        </w:rPr>
        <w:t>Z</w:t>
      </w:r>
      <w:r w:rsidR="00E251C9">
        <w:rPr>
          <w:rFonts w:eastAsia="Calibri" w:cs="Times New Roman"/>
          <w:bCs/>
          <w:szCs w:val="24"/>
        </w:rPr>
        <w:t> </w:t>
      </w:r>
      <w:r w:rsidR="008C089F" w:rsidRPr="00117FC4">
        <w:rPr>
          <w:rFonts w:eastAsia="Calibri" w:cs="Times New Roman"/>
          <w:bCs/>
          <w:szCs w:val="24"/>
        </w:rPr>
        <w:t xml:space="preserve"> przekazywanych informacji wynika, że beneficjenci mają problem ze sfinansowaniem</w:t>
      </w:r>
      <w:r w:rsidR="008B0397" w:rsidRPr="00117FC4">
        <w:rPr>
          <w:rFonts w:eastAsia="Calibri" w:cs="Times New Roman"/>
          <w:bCs/>
          <w:szCs w:val="24"/>
        </w:rPr>
        <w:t xml:space="preserve"> </w:t>
      </w:r>
      <w:r w:rsidR="008C089F" w:rsidRPr="00117FC4">
        <w:rPr>
          <w:rFonts w:eastAsia="Calibri" w:cs="Times New Roman"/>
          <w:bCs/>
          <w:szCs w:val="24"/>
        </w:rPr>
        <w:t>kosztów z własnych środków zanim uzyskają refundację. Jest to szczególnie odczuwalne w</w:t>
      </w:r>
      <w:r w:rsidR="00E251C9">
        <w:rPr>
          <w:rFonts w:eastAsia="Calibri" w:cs="Times New Roman"/>
          <w:bCs/>
          <w:szCs w:val="24"/>
        </w:rPr>
        <w:t> </w:t>
      </w:r>
      <w:r w:rsidR="008C089F" w:rsidRPr="00117FC4">
        <w:rPr>
          <w:rFonts w:eastAsia="Calibri" w:cs="Times New Roman"/>
          <w:bCs/>
          <w:szCs w:val="24"/>
        </w:rPr>
        <w:t xml:space="preserve"> obecnej, trudnej sytuacji ekonomicznej potencjalnych beneficjentów działania, spowodowanej ogólnogospodarczym kryzysem będącym bezpośrednim skutkiem wystąpienia wirusa SARS-CoV-2 . Zatem konieczne wydaje się zapewnienie ww. form pomocy dla beneficjentów działania </w:t>
      </w:r>
      <w:r w:rsidR="00E251C9">
        <w:rPr>
          <w:rFonts w:eastAsia="Calibri" w:cs="Times New Roman"/>
          <w:bCs/>
          <w:szCs w:val="24"/>
        </w:rPr>
        <w:t>„</w:t>
      </w:r>
      <w:r w:rsidR="008C089F" w:rsidRPr="00117FC4">
        <w:rPr>
          <w:rFonts w:eastAsia="Calibri" w:cs="Times New Roman"/>
          <w:bCs/>
          <w:szCs w:val="24"/>
        </w:rPr>
        <w:t>Współpraca</w:t>
      </w:r>
      <w:r w:rsidR="00E251C9">
        <w:rPr>
          <w:rFonts w:eastAsia="Calibri" w:cs="Times New Roman"/>
          <w:bCs/>
          <w:szCs w:val="24"/>
        </w:rPr>
        <w:t>”</w:t>
      </w:r>
      <w:r w:rsidR="008C089F" w:rsidRPr="00117FC4">
        <w:rPr>
          <w:rFonts w:eastAsia="Calibri" w:cs="Times New Roman"/>
          <w:bCs/>
          <w:szCs w:val="24"/>
        </w:rPr>
        <w:t>.</w:t>
      </w:r>
    </w:p>
    <w:p w14:paraId="1BC5B7C9" w14:textId="6BAEDE98" w:rsidR="007664D4" w:rsidRPr="00117FC4" w:rsidRDefault="007664D4" w:rsidP="006522EF">
      <w:pPr>
        <w:spacing w:before="120"/>
        <w:jc w:val="both"/>
        <w:rPr>
          <w:rFonts w:eastAsia="Calibri" w:cs="Times New Roman"/>
          <w:bCs/>
          <w:szCs w:val="24"/>
          <w:lang w:eastAsia="en-US"/>
        </w:rPr>
      </w:pPr>
      <w:r w:rsidRPr="00117FC4">
        <w:rPr>
          <w:rFonts w:eastAsia="Calibri" w:cs="Times New Roman"/>
          <w:bCs/>
          <w:szCs w:val="24"/>
          <w:lang w:eastAsia="en-US"/>
        </w:rPr>
        <w:t>Ponadto</w:t>
      </w:r>
      <w:r w:rsidR="006522EF">
        <w:rPr>
          <w:rFonts w:eastAsia="Calibri" w:cs="Times New Roman"/>
          <w:bCs/>
          <w:szCs w:val="24"/>
          <w:lang w:eastAsia="en-US"/>
        </w:rPr>
        <w:t>,</w:t>
      </w:r>
      <w:r w:rsidRPr="00117FC4">
        <w:rPr>
          <w:rFonts w:eastAsia="Calibri" w:cs="Times New Roman"/>
          <w:bCs/>
          <w:szCs w:val="24"/>
          <w:lang w:eastAsia="en-US"/>
        </w:rPr>
        <w:t xml:space="preserve"> w art. </w:t>
      </w:r>
      <w:r w:rsidR="008D3F26">
        <w:rPr>
          <w:rFonts w:eastAsia="Calibri" w:cs="Times New Roman"/>
          <w:bCs/>
          <w:szCs w:val="24"/>
          <w:lang w:eastAsia="en-US"/>
        </w:rPr>
        <w:t>6</w:t>
      </w:r>
      <w:r w:rsidR="006522EF" w:rsidRPr="00117FC4">
        <w:rPr>
          <w:rFonts w:eastAsia="Calibri" w:cs="Times New Roman"/>
          <w:bCs/>
          <w:szCs w:val="24"/>
          <w:lang w:eastAsia="en-US"/>
        </w:rPr>
        <w:t xml:space="preserve"> </w:t>
      </w:r>
      <w:r w:rsidRPr="00117FC4">
        <w:rPr>
          <w:rFonts w:eastAsia="Calibri" w:cs="Times New Roman"/>
          <w:bCs/>
          <w:szCs w:val="24"/>
          <w:lang w:eastAsia="en-US"/>
        </w:rPr>
        <w:t xml:space="preserve">pkt 2 lit. </w:t>
      </w:r>
      <w:r w:rsidR="00352977" w:rsidRPr="00306E7D">
        <w:rPr>
          <w:rFonts w:eastAsia="Calibri" w:cs="Times New Roman"/>
          <w:bCs/>
          <w:szCs w:val="24"/>
          <w:lang w:eastAsia="en-US"/>
        </w:rPr>
        <w:t>c</w:t>
      </w:r>
      <w:r w:rsidRPr="00117FC4">
        <w:rPr>
          <w:rFonts w:eastAsia="Calibri" w:cs="Times New Roman"/>
          <w:bCs/>
          <w:szCs w:val="24"/>
          <w:lang w:eastAsia="en-US"/>
        </w:rPr>
        <w:t xml:space="preserve"> proponuje się wprowadzenie możliwości skorzystania z</w:t>
      </w:r>
      <w:r w:rsidR="00306E7D">
        <w:rPr>
          <w:rFonts w:eastAsia="Calibri" w:cs="Times New Roman"/>
          <w:bCs/>
          <w:szCs w:val="24"/>
          <w:lang w:eastAsia="en-US"/>
        </w:rPr>
        <w:t> </w:t>
      </w:r>
      <w:r w:rsidRPr="00117FC4">
        <w:rPr>
          <w:rFonts w:eastAsia="Calibri" w:cs="Times New Roman"/>
          <w:bCs/>
          <w:szCs w:val="24"/>
          <w:lang w:eastAsia="en-US"/>
        </w:rPr>
        <w:t xml:space="preserve"> wyprzedzającego finansowania przez spółki wodne i ich związki, będące beneficjentem operacji typu „Inwestycje zapobiegające zniszczeniu potencjału produkcji rolnej”. </w:t>
      </w:r>
    </w:p>
    <w:p w14:paraId="0B286AA5" w14:textId="77777777" w:rsidR="004644C1" w:rsidRPr="00117FC4" w:rsidRDefault="004644C1" w:rsidP="006522EF">
      <w:pPr>
        <w:widowControl/>
        <w:autoSpaceDE/>
        <w:autoSpaceDN/>
        <w:adjustRightInd/>
        <w:spacing w:before="120"/>
        <w:jc w:val="both"/>
        <w:rPr>
          <w:rFonts w:eastAsia="Calibri" w:cs="Times New Roman"/>
          <w:szCs w:val="24"/>
        </w:rPr>
      </w:pPr>
      <w:r w:rsidRPr="00117FC4">
        <w:rPr>
          <w:rFonts w:eastAsia="Calibri" w:cs="Times New Roman"/>
          <w:bCs/>
          <w:szCs w:val="24"/>
          <w:lang w:eastAsia="en-US"/>
        </w:rPr>
        <w:t xml:space="preserve">W przypadku </w:t>
      </w:r>
      <w:r w:rsidRPr="00117FC4">
        <w:rPr>
          <w:rFonts w:eastAsia="Calibri" w:cs="Times New Roman"/>
          <w:bCs/>
          <w:szCs w:val="24"/>
        </w:rPr>
        <w:t>spółek</w:t>
      </w:r>
      <w:r w:rsidRPr="00117FC4">
        <w:rPr>
          <w:rFonts w:eastAsia="Calibri" w:cs="Times New Roman"/>
          <w:bCs/>
          <w:szCs w:val="24"/>
          <w:lang w:eastAsia="en-US"/>
        </w:rPr>
        <w:t xml:space="preserve"> wodnych, istnieje problem braku zdolności kredytowej - nie mogą one otrzymać ani kredytu, jak i gwarancji bankowej. Są zatem </w:t>
      </w:r>
      <w:r w:rsidRPr="00117FC4">
        <w:rPr>
          <w:rFonts w:eastAsia="Calibri" w:cs="Times New Roman"/>
          <w:bCs/>
          <w:i/>
          <w:szCs w:val="24"/>
          <w:lang w:eastAsia="en-US"/>
        </w:rPr>
        <w:t>de facto</w:t>
      </w:r>
      <w:r w:rsidRPr="00117FC4">
        <w:rPr>
          <w:rFonts w:eastAsia="Calibri" w:cs="Times New Roman"/>
          <w:bCs/>
          <w:szCs w:val="24"/>
          <w:lang w:eastAsia="en-US"/>
        </w:rPr>
        <w:t xml:space="preserve"> wyłączone z możliwości otrzymania zaliczki, o której mowa w art. 45</w:t>
      </w:r>
      <w:r w:rsidRPr="00117FC4">
        <w:rPr>
          <w:rFonts w:ascii="Times" w:hAnsi="Times"/>
          <w:bCs/>
        </w:rPr>
        <w:t xml:space="preserve"> rozporządzenia (UE) nr 1305/2013</w:t>
      </w:r>
      <w:r w:rsidRPr="00117FC4">
        <w:rPr>
          <w:rFonts w:eastAsia="Calibri" w:cs="Times New Roman"/>
          <w:bCs/>
          <w:szCs w:val="24"/>
          <w:lang w:eastAsia="en-US"/>
        </w:rPr>
        <w:t xml:space="preserve"> i tym samym, z powodu braku środków na realizację zadania, nie wykonują robót w zakresie melioracji wodnych, w celu zminimalizowania negatywnych skutków suszy lub zalania, podtopienia lub nadmiernego uwilgocenia, spowodowanego przez powódź lub deszcz nawalny. W związku z tym, proponuje się wprowadzenie zmiany polegającej na umożliwieniu spółkom wodnym oraz związkom spółek wodnych otrzymywania środków z budżetu państwa na wyprzedzające finansowanie kosztów kwalifikowalnych ponoszonych na realizację  operacji, poprzez i</w:t>
      </w:r>
      <w:r w:rsidRPr="00117FC4">
        <w:rPr>
          <w:rFonts w:eastAsia="Times New Roman" w:cs="Times New Roman"/>
          <w:szCs w:val="24"/>
        </w:rPr>
        <w:t xml:space="preserve">nstrument wyprzedzającego finansowania - </w:t>
      </w:r>
      <w:r w:rsidR="008C089F" w:rsidRPr="00117FC4">
        <w:rPr>
          <w:rFonts w:eastAsia="Times New Roman" w:cs="Times New Roman"/>
          <w:szCs w:val="24"/>
        </w:rPr>
        <w:t xml:space="preserve">tj. wypłaty środków </w:t>
      </w:r>
      <w:r w:rsidRPr="00117FC4">
        <w:rPr>
          <w:rFonts w:eastAsia="Times New Roman" w:cs="Times New Roman"/>
          <w:szCs w:val="24"/>
        </w:rPr>
        <w:t xml:space="preserve">przez Agencję Restrukturyzacji i Modernizacji Rolnictwa do wysokości wkładu krajowego i </w:t>
      </w:r>
      <w:r w:rsidR="008C089F" w:rsidRPr="00117FC4">
        <w:rPr>
          <w:rFonts w:eastAsia="Times New Roman" w:cs="Times New Roman"/>
          <w:szCs w:val="24"/>
        </w:rPr>
        <w:t xml:space="preserve">udzielanie </w:t>
      </w:r>
      <w:r w:rsidRPr="00117FC4">
        <w:rPr>
          <w:rFonts w:eastAsia="Times New Roman" w:cs="Times New Roman"/>
          <w:szCs w:val="24"/>
        </w:rPr>
        <w:t xml:space="preserve">pożyczki przez BGK do wysokości wkładu funduszu EFRROW w ramach </w:t>
      </w:r>
      <w:r w:rsidR="00E251C9">
        <w:rPr>
          <w:rFonts w:eastAsia="Calibri" w:cs="Times New Roman"/>
          <w:szCs w:val="24"/>
        </w:rPr>
        <w:t>PROW</w:t>
      </w:r>
      <w:r w:rsidRPr="00117FC4">
        <w:rPr>
          <w:rFonts w:eastAsia="Calibri" w:cs="Times New Roman"/>
          <w:szCs w:val="24"/>
        </w:rPr>
        <w:t xml:space="preserve"> 2014</w:t>
      </w:r>
      <w:r w:rsidRPr="00117FC4">
        <w:rPr>
          <w:rFonts w:eastAsia="Times New Roman"/>
          <w:szCs w:val="24"/>
        </w:rPr>
        <w:t>–</w:t>
      </w:r>
      <w:r w:rsidRPr="00117FC4">
        <w:rPr>
          <w:rFonts w:eastAsia="Calibri" w:cs="Times New Roman"/>
          <w:szCs w:val="24"/>
        </w:rPr>
        <w:t>2020.</w:t>
      </w:r>
    </w:p>
    <w:p w14:paraId="3770100F" w14:textId="77777777" w:rsidR="006E7044" w:rsidRPr="00117FC4" w:rsidRDefault="006E7044" w:rsidP="006522EF">
      <w:pPr>
        <w:pStyle w:val="PKTpunkt"/>
        <w:spacing w:before="120"/>
        <w:ind w:left="0" w:firstLine="0"/>
      </w:pPr>
      <w:r w:rsidRPr="00117FC4">
        <w:lastRenderedPageBreak/>
        <w:t>Proponuje się dodanie ust. 4 w art. 23 ustawy o finansowaniu wspólnej polityki rolnej, w którym zobowiązuje się:</w:t>
      </w:r>
    </w:p>
    <w:p w14:paraId="6124D5F4" w14:textId="77777777" w:rsidR="006E7044" w:rsidRPr="00117FC4" w:rsidRDefault="006E7044" w:rsidP="006E7044">
      <w:pPr>
        <w:pStyle w:val="ZLITUSTzmustliter"/>
        <w:numPr>
          <w:ilvl w:val="0"/>
          <w:numId w:val="16"/>
        </w:numPr>
      </w:pPr>
      <w:r w:rsidRPr="00117FC4">
        <w:t>Agencję Restrukturyzacji i Modernizacji Rolnictwa oraz Krajowy Ośrodek Wsparcia Rolnictwa realizujących operacje w ramach pomocy technicznej,</w:t>
      </w:r>
    </w:p>
    <w:p w14:paraId="5D30EEEB" w14:textId="77777777" w:rsidR="006E7044" w:rsidRPr="00117FC4" w:rsidRDefault="006E7044" w:rsidP="006E7044">
      <w:pPr>
        <w:pStyle w:val="ZLITUSTzmustliter"/>
        <w:numPr>
          <w:ilvl w:val="0"/>
          <w:numId w:val="16"/>
        </w:numPr>
      </w:pPr>
      <w:r w:rsidRPr="00117FC4">
        <w:t>jednostki doradztwa rolniczego realizujące operacje w ramach pomocy technicznej,</w:t>
      </w:r>
    </w:p>
    <w:p w14:paraId="394AA22F" w14:textId="77777777" w:rsidR="006522EF" w:rsidRDefault="006E7044" w:rsidP="006E7044">
      <w:pPr>
        <w:pStyle w:val="ZNIEARTTEKSTzmtekstunieartykuowanego"/>
        <w:ind w:left="0" w:firstLine="0"/>
      </w:pPr>
      <w:r w:rsidRPr="00117FC4">
        <w:t>– do zwrotu środków w terminie 60 dni na rachunek dochodów Ministra Rolnictwa i Rozwoju Wsi w przypadku, gdy agencja płatnicza odmówi wypłaty środków.</w:t>
      </w:r>
    </w:p>
    <w:p w14:paraId="7F3CC5BA" w14:textId="77777777" w:rsidR="006E7044" w:rsidRDefault="006E7044" w:rsidP="006522EF">
      <w:pPr>
        <w:pStyle w:val="ZNIEARTTEKSTzmtekstunieartykuowanego"/>
        <w:spacing w:before="0"/>
        <w:ind w:left="0" w:firstLine="0"/>
      </w:pPr>
      <w:r w:rsidRPr="00117FC4">
        <w:t>Powyższe ma na celu zabezpieczenie interesów finansowych budżetu państwa i uniknięcia wątpliwości odnośnie do postępowania w przypadku gdy dotacja celowa na wyprzedzające finansowanie przez dysponenta części budżetowej, tj. Ministra Rolnictwa i Rozwoju Wsi została rozliczona jednak na etapie oceny formalnej, rachunkowej i merytorycznej wniosku o</w:t>
      </w:r>
      <w:r w:rsidR="00E251C9">
        <w:t> </w:t>
      </w:r>
      <w:r w:rsidRPr="00117FC4">
        <w:t xml:space="preserve"> przyznanie pomocy czy też wniosku o płatność agencja płatnicza uzna, że część wydatków nie kwalifikuje się do refundacji ramach pomocy technicznej PROW 2014–2020. W tym zakresie ocena i decyzja agencji płatniczej jest niezależna od decyzji Ministra Rolnictwa i</w:t>
      </w:r>
      <w:r w:rsidR="00E251C9">
        <w:t> </w:t>
      </w:r>
      <w:r w:rsidRPr="00117FC4">
        <w:t xml:space="preserve"> Rozwoju Wsi i nie można wykluczyć, że wyprzedzające finansowanie nie zostanie w całości zrefundowane przez agencję płatniczą. Proponowany ust. 4 zobowiązuje Agencję Restrukturyzacji i Modernizacji Rolnictwa, Krajowy Ośrodek Wsparcia Rolnictwa oraz jednostki doradztwa rolniczego do zwrotu środków do wysokości otrzymanej i rozliczonej dotacji celowej z budżetu państwa. </w:t>
      </w:r>
    </w:p>
    <w:p w14:paraId="597A7CE9" w14:textId="77777777" w:rsidR="00DF74E4" w:rsidRDefault="00DF74E4" w:rsidP="00DF74E4">
      <w:pPr>
        <w:pStyle w:val="ZNIEARTTEKSTzmtekstunieartykuowanego"/>
        <w:ind w:left="0" w:firstLine="0"/>
        <w:rPr>
          <w:szCs w:val="24"/>
        </w:rPr>
      </w:pPr>
      <w:r>
        <w:rPr>
          <w:szCs w:val="24"/>
        </w:rPr>
        <w:t xml:space="preserve">Należy zauważyć, że zgodnie z art. 175 ustawy z dnia 27 sierpnia 2009 r. o finansach publicznych (Dz. U. z 2021 r. poz. 305) to dysponenci części budżetowych sprawują nadzór i kontrolę wykorzystania dotacji udzielonych z budżetu państwa, tj. minister właściwy do spraw rozwoju wsi. Mając powyższe na uwadze oraz przepisy ustawy o finansach publicznych dotyczące umarzania należności pieniężnych (art. 60–-67), właściwy organ, tj. minister do spraw rozwoju wsi może na wniosek zobowiązanego (ARiMR, KOWR, jednostki doradztwa rolniczego) udzielić ulg w spłacie zobowiązań. Zgodnie z art. 55 ustawy o finansach publicznych, ulgi mogą polegać na: umorzeniu należności w całości albo części, ich spłata może być odroczona lub rozłożona na raty. </w:t>
      </w:r>
    </w:p>
    <w:p w14:paraId="4B16D8BA" w14:textId="77777777" w:rsidR="00DD1DB0" w:rsidRPr="00397829" w:rsidRDefault="00DB7A47" w:rsidP="008577F2">
      <w:pPr>
        <w:pStyle w:val="ZNIEARTTEKSTzmtekstunieartykuowanego"/>
        <w:ind w:left="0" w:firstLine="0"/>
        <w:rPr>
          <w:szCs w:val="24"/>
        </w:rPr>
      </w:pPr>
      <w:r w:rsidRPr="00DD1DB0">
        <w:rPr>
          <w:szCs w:val="24"/>
        </w:rPr>
        <w:t>Ponadto</w:t>
      </w:r>
      <w:r w:rsidR="00397829">
        <w:rPr>
          <w:szCs w:val="24"/>
        </w:rPr>
        <w:t xml:space="preserve"> </w:t>
      </w:r>
      <w:r w:rsidR="00397829" w:rsidRPr="00397829">
        <w:rPr>
          <w:szCs w:val="24"/>
        </w:rPr>
        <w:t xml:space="preserve">w związku z wprowadzanymi </w:t>
      </w:r>
      <w:r w:rsidR="00450BCE" w:rsidRPr="00397829">
        <w:rPr>
          <w:szCs w:val="24"/>
        </w:rPr>
        <w:t>w art. 13</w:t>
      </w:r>
      <w:r w:rsidR="00450BCE">
        <w:rPr>
          <w:szCs w:val="24"/>
        </w:rPr>
        <w:t xml:space="preserve"> </w:t>
      </w:r>
      <w:r w:rsidR="00397829" w:rsidRPr="00397829">
        <w:rPr>
          <w:szCs w:val="24"/>
        </w:rPr>
        <w:t>zmianami</w:t>
      </w:r>
      <w:r w:rsidR="00397829">
        <w:rPr>
          <w:szCs w:val="24"/>
        </w:rPr>
        <w:t>,</w:t>
      </w:r>
      <w:r w:rsidR="00397829" w:rsidRPr="00397829">
        <w:rPr>
          <w:szCs w:val="24"/>
        </w:rPr>
        <w:t xml:space="preserve"> </w:t>
      </w:r>
      <w:r w:rsidR="00397829">
        <w:rPr>
          <w:szCs w:val="24"/>
        </w:rPr>
        <w:t>w</w:t>
      </w:r>
      <w:r w:rsidR="00DD1DB0" w:rsidRPr="00397829">
        <w:rPr>
          <w:szCs w:val="24"/>
        </w:rPr>
        <w:t xml:space="preserve"> celu </w:t>
      </w:r>
      <w:r w:rsidR="00397829">
        <w:rPr>
          <w:szCs w:val="24"/>
        </w:rPr>
        <w:t>uruchomienia</w:t>
      </w:r>
      <w:r w:rsidR="00DD1DB0" w:rsidRPr="00397829">
        <w:rPr>
          <w:szCs w:val="24"/>
        </w:rPr>
        <w:t xml:space="preserve"> </w:t>
      </w:r>
      <w:r w:rsidR="00450BCE" w:rsidRPr="00397829">
        <w:rPr>
          <w:szCs w:val="24"/>
        </w:rPr>
        <w:t>z</w:t>
      </w:r>
      <w:r w:rsidR="00450BCE">
        <w:rPr>
          <w:szCs w:val="24"/>
        </w:rPr>
        <w:t xml:space="preserve">e środków </w:t>
      </w:r>
      <w:r w:rsidR="00450BCE" w:rsidRPr="00397829">
        <w:rPr>
          <w:szCs w:val="24"/>
        </w:rPr>
        <w:t xml:space="preserve"> budżetu państwa </w:t>
      </w:r>
      <w:r w:rsidR="00397829" w:rsidRPr="00397829">
        <w:rPr>
          <w:szCs w:val="24"/>
        </w:rPr>
        <w:t xml:space="preserve">wyprzedzającego finansowania </w:t>
      </w:r>
      <w:r w:rsidR="00397829">
        <w:rPr>
          <w:szCs w:val="24"/>
        </w:rPr>
        <w:t>tj. w</w:t>
      </w:r>
      <w:r w:rsidR="00397829" w:rsidRPr="00397829">
        <w:rPr>
          <w:szCs w:val="24"/>
        </w:rPr>
        <w:t xml:space="preserve">ypłat </w:t>
      </w:r>
      <w:r w:rsidR="00450BCE">
        <w:rPr>
          <w:szCs w:val="24"/>
        </w:rPr>
        <w:t xml:space="preserve">w formie </w:t>
      </w:r>
      <w:r w:rsidR="00450BCE" w:rsidRPr="00397829">
        <w:rPr>
          <w:szCs w:val="24"/>
        </w:rPr>
        <w:t>pożycz</w:t>
      </w:r>
      <w:r w:rsidR="00450BCE">
        <w:rPr>
          <w:szCs w:val="24"/>
        </w:rPr>
        <w:t>ek</w:t>
      </w:r>
      <w:r w:rsidR="00450BCE" w:rsidRPr="00397829">
        <w:rPr>
          <w:szCs w:val="24"/>
        </w:rPr>
        <w:t xml:space="preserve"> </w:t>
      </w:r>
      <w:r w:rsidR="00397829" w:rsidRPr="00397829">
        <w:rPr>
          <w:szCs w:val="24"/>
        </w:rPr>
        <w:t xml:space="preserve">z Banku Gospodarstwa Krajowego </w:t>
      </w:r>
      <w:r w:rsidR="00397829">
        <w:rPr>
          <w:szCs w:val="24"/>
        </w:rPr>
        <w:t xml:space="preserve">dla:  </w:t>
      </w:r>
    </w:p>
    <w:p w14:paraId="4685287E" w14:textId="77777777" w:rsidR="00DD1DB0" w:rsidRPr="00397829" w:rsidRDefault="00DD1DB0" w:rsidP="008577F2">
      <w:pPr>
        <w:pStyle w:val="ZNIEARTTEKSTzmtekstunieartykuowanego"/>
        <w:numPr>
          <w:ilvl w:val="0"/>
          <w:numId w:val="25"/>
        </w:numPr>
        <w:spacing w:before="0"/>
        <w:rPr>
          <w:szCs w:val="24"/>
        </w:rPr>
      </w:pPr>
      <w:r w:rsidRPr="00397829">
        <w:rPr>
          <w:szCs w:val="24"/>
        </w:rPr>
        <w:t>jednostek samorządu terytorialnego, realizujących operacje w ramach działań:</w:t>
      </w:r>
    </w:p>
    <w:p w14:paraId="7D6F4A34" w14:textId="77777777" w:rsidR="00DD1DB0" w:rsidRPr="00450BCE" w:rsidRDefault="00DD1DB0" w:rsidP="00450BCE">
      <w:pPr>
        <w:pStyle w:val="ZNIEARTTEKSTzmtekstunieartykuowanego"/>
        <w:numPr>
          <w:ilvl w:val="0"/>
          <w:numId w:val="19"/>
        </w:numPr>
        <w:spacing w:before="0"/>
        <w:rPr>
          <w:szCs w:val="24"/>
        </w:rPr>
      </w:pPr>
      <w:r w:rsidRPr="00450BCE">
        <w:rPr>
          <w:szCs w:val="24"/>
        </w:rPr>
        <w:t>podstawowe usługi i odnowa wsi na obszarach wiejskich,</w:t>
      </w:r>
    </w:p>
    <w:p w14:paraId="317EA454" w14:textId="77777777" w:rsidR="00DD1DB0" w:rsidRPr="00450BCE" w:rsidRDefault="00DD1DB0" w:rsidP="00450BCE">
      <w:pPr>
        <w:pStyle w:val="ZNIEARTTEKSTzmtekstunieartykuowanego"/>
        <w:numPr>
          <w:ilvl w:val="0"/>
          <w:numId w:val="19"/>
        </w:numPr>
        <w:spacing w:before="0"/>
        <w:rPr>
          <w:szCs w:val="24"/>
        </w:rPr>
      </w:pPr>
      <w:r w:rsidRPr="00450BCE">
        <w:rPr>
          <w:szCs w:val="24"/>
        </w:rPr>
        <w:lastRenderedPageBreak/>
        <w:t>współpraca,</w:t>
      </w:r>
    </w:p>
    <w:p w14:paraId="6272F2AB" w14:textId="77777777" w:rsidR="00DD1DB0" w:rsidRPr="00450BCE" w:rsidRDefault="00DD1DB0" w:rsidP="00450BCE">
      <w:pPr>
        <w:pStyle w:val="ZNIEARTTEKSTzmtekstunieartykuowanego"/>
        <w:numPr>
          <w:ilvl w:val="0"/>
          <w:numId w:val="19"/>
        </w:numPr>
        <w:spacing w:before="0"/>
        <w:rPr>
          <w:szCs w:val="24"/>
        </w:rPr>
      </w:pPr>
      <w:r w:rsidRPr="00450BCE">
        <w:rPr>
          <w:szCs w:val="24"/>
        </w:rPr>
        <w:t>wsparcie dla rozwoju lokalnego w ramach inicjatywy LEADER w zakresie poddziałania wsparcie na wdrażanie operacji w ramach strategii rozwoju lokalnego kierowanego przez społeczność;</w:t>
      </w:r>
    </w:p>
    <w:p w14:paraId="6ED48740" w14:textId="77777777" w:rsidR="00DD1DB0" w:rsidRPr="00450BCE" w:rsidRDefault="00DD1DB0" w:rsidP="008577F2">
      <w:pPr>
        <w:pStyle w:val="ZNIEARTTEKSTzmtekstunieartykuowanego"/>
        <w:numPr>
          <w:ilvl w:val="0"/>
          <w:numId w:val="25"/>
        </w:numPr>
        <w:spacing w:before="0"/>
        <w:rPr>
          <w:szCs w:val="24"/>
        </w:rPr>
      </w:pPr>
      <w:r w:rsidRPr="00450BCE">
        <w:rPr>
          <w:szCs w:val="24"/>
        </w:rPr>
        <w:t>lokalnych grup działania, realizujących operacje w ramach poddziałań:</w:t>
      </w:r>
    </w:p>
    <w:p w14:paraId="6A558920" w14:textId="77777777" w:rsidR="00DD1DB0" w:rsidRPr="0003479B" w:rsidRDefault="00DD1DB0" w:rsidP="008577F2">
      <w:pPr>
        <w:pStyle w:val="ZNIEARTTEKSTzmtekstunieartykuowanego"/>
        <w:numPr>
          <w:ilvl w:val="0"/>
          <w:numId w:val="20"/>
        </w:numPr>
        <w:spacing w:before="0"/>
        <w:rPr>
          <w:szCs w:val="24"/>
        </w:rPr>
      </w:pPr>
      <w:r w:rsidRPr="00450BCE">
        <w:rPr>
          <w:szCs w:val="24"/>
        </w:rPr>
        <w:t>wsparcie na wdrażanie operacji w ramach strategii rozwoju lokalnego kierowanego przez społeczność,</w:t>
      </w:r>
    </w:p>
    <w:p w14:paraId="6E7A7999" w14:textId="77777777" w:rsidR="00DD1DB0" w:rsidRPr="007652A7" w:rsidRDefault="00DD1DB0" w:rsidP="008577F2">
      <w:pPr>
        <w:pStyle w:val="ZNIEARTTEKSTzmtekstunieartykuowanego"/>
        <w:numPr>
          <w:ilvl w:val="0"/>
          <w:numId w:val="20"/>
        </w:numPr>
        <w:spacing w:before="0"/>
        <w:rPr>
          <w:szCs w:val="24"/>
        </w:rPr>
      </w:pPr>
      <w:r w:rsidRPr="007652A7">
        <w:rPr>
          <w:szCs w:val="24"/>
        </w:rPr>
        <w:t>przygotowanie i realizacja działań w zakresie współpracy z lokalną grupą działania</w:t>
      </w:r>
      <w:r w:rsidR="008577F2">
        <w:rPr>
          <w:szCs w:val="24"/>
        </w:rPr>
        <w:t>;</w:t>
      </w:r>
    </w:p>
    <w:p w14:paraId="6B97CEC7" w14:textId="77777777" w:rsidR="00DD1DB0" w:rsidRPr="00397829" w:rsidRDefault="00DD1DB0" w:rsidP="008577F2">
      <w:pPr>
        <w:pStyle w:val="ZNIEARTTEKSTzmtekstunieartykuowanego"/>
        <w:numPr>
          <w:ilvl w:val="0"/>
          <w:numId w:val="25"/>
        </w:numPr>
        <w:spacing w:before="0"/>
        <w:rPr>
          <w:szCs w:val="24"/>
        </w:rPr>
      </w:pPr>
      <w:r w:rsidRPr="00DD1DB0">
        <w:rPr>
          <w:szCs w:val="24"/>
        </w:rPr>
        <w:t>beneficjentów</w:t>
      </w:r>
      <w:r w:rsidRPr="00397829">
        <w:rPr>
          <w:szCs w:val="24"/>
        </w:rPr>
        <w:t xml:space="preserve"> PROW 2014–2020, realizujących operacje w ramach działań:</w:t>
      </w:r>
      <w:r w:rsidRPr="00397829">
        <w:rPr>
          <w:szCs w:val="24"/>
        </w:rPr>
        <w:tab/>
        <w:t xml:space="preserve"> </w:t>
      </w:r>
    </w:p>
    <w:p w14:paraId="39E48D39" w14:textId="77777777" w:rsidR="00DD1DB0" w:rsidRPr="00397829" w:rsidRDefault="00DD1DB0" w:rsidP="008577F2">
      <w:pPr>
        <w:pStyle w:val="ZNIEARTTEKSTzmtekstunieartykuowanego"/>
        <w:numPr>
          <w:ilvl w:val="0"/>
          <w:numId w:val="21"/>
        </w:numPr>
        <w:spacing w:before="0"/>
        <w:rPr>
          <w:szCs w:val="24"/>
        </w:rPr>
      </w:pPr>
      <w:r w:rsidRPr="00397829">
        <w:rPr>
          <w:szCs w:val="24"/>
        </w:rPr>
        <w:t>transfer wiedzy i działalność informacyjna – w przypadku jednostek doradztwa rolniczego oraz instytutów badawczych i uczelni,</w:t>
      </w:r>
    </w:p>
    <w:p w14:paraId="100A90F6" w14:textId="77777777" w:rsidR="00DD1DB0" w:rsidRPr="00397829" w:rsidRDefault="00DD1DB0" w:rsidP="008577F2">
      <w:pPr>
        <w:pStyle w:val="ZNIEARTTEKSTzmtekstunieartykuowanego"/>
        <w:numPr>
          <w:ilvl w:val="0"/>
          <w:numId w:val="21"/>
        </w:numPr>
        <w:spacing w:before="0"/>
        <w:rPr>
          <w:szCs w:val="24"/>
        </w:rPr>
      </w:pPr>
      <w:r w:rsidRPr="00397829">
        <w:rPr>
          <w:szCs w:val="24"/>
        </w:rPr>
        <w:t>usługi doradcze, usługi z zakresu zarządzania gospodarstwem rolnym i usługi z zakresu zastępstw – w przypadku jednostek doradztwa rolniczego oraz instytutów badawczych i uczelni,</w:t>
      </w:r>
    </w:p>
    <w:p w14:paraId="0067EB43" w14:textId="77777777" w:rsidR="00DD1DB0" w:rsidRPr="00450BCE" w:rsidRDefault="00DD1DB0" w:rsidP="008577F2">
      <w:pPr>
        <w:pStyle w:val="ZNIEARTTEKSTzmtekstunieartykuowanego"/>
        <w:numPr>
          <w:ilvl w:val="0"/>
          <w:numId w:val="21"/>
        </w:numPr>
        <w:spacing w:before="0"/>
        <w:rPr>
          <w:szCs w:val="24"/>
        </w:rPr>
      </w:pPr>
      <w:r w:rsidRPr="00397829">
        <w:rPr>
          <w:szCs w:val="24"/>
        </w:rPr>
        <w:t>współpraca, z wyłączeniem pomocy wypłaconej w formie, o której mowa w art. 67 ust.</w:t>
      </w:r>
      <w:r w:rsidR="008577F2">
        <w:rPr>
          <w:szCs w:val="24"/>
        </w:rPr>
        <w:t> </w:t>
      </w:r>
      <w:r w:rsidRPr="00397829">
        <w:rPr>
          <w:szCs w:val="24"/>
        </w:rPr>
        <w:t xml:space="preserve"> 1 lit. c rozporządzenia nr 1303/2013 – w przypadku jednostek doradztwa rolniczego oraz instytutów badawczych,</w:t>
      </w:r>
    </w:p>
    <w:p w14:paraId="2DB91E2A" w14:textId="77777777" w:rsidR="00DD1DB0" w:rsidRPr="00450BCE" w:rsidRDefault="00DD1DB0" w:rsidP="008577F2">
      <w:pPr>
        <w:pStyle w:val="ZNIEARTTEKSTzmtekstunieartykuowanego"/>
        <w:numPr>
          <w:ilvl w:val="0"/>
          <w:numId w:val="21"/>
        </w:numPr>
        <w:spacing w:before="0"/>
        <w:rPr>
          <w:szCs w:val="24"/>
        </w:rPr>
      </w:pPr>
      <w:r w:rsidRPr="00450BCE">
        <w:rPr>
          <w:szCs w:val="24"/>
        </w:rPr>
        <w:t>przywracanie potencjału produkcji rolnej zniszczonego w wyniku klęsk żywiołowych i katastrof oraz wprowadzanie odpowiednich środków zapobiegawczych na operacje typu inwestycje zapobiegające zniszczeniu potencjału produkcji rolnej – w przypadku spółek wodnych i związków spółek wodnych</w:t>
      </w:r>
    </w:p>
    <w:p w14:paraId="31C70D46" w14:textId="77777777" w:rsidR="00DD1DB0" w:rsidRPr="00397829" w:rsidRDefault="00397829" w:rsidP="00450BCE">
      <w:pPr>
        <w:pStyle w:val="ZNIEARTTEKSTzmtekstunieartykuowanego"/>
        <w:spacing w:before="0"/>
        <w:ind w:left="0" w:firstLine="0"/>
        <w:rPr>
          <w:szCs w:val="24"/>
        </w:rPr>
      </w:pPr>
      <w:r w:rsidRPr="00397829">
        <w:rPr>
          <w:szCs w:val="24"/>
        </w:rPr>
        <w:t>niezbędne jest wydanie nowego rozporządzenia Rady Ministrów.</w:t>
      </w:r>
      <w:r>
        <w:rPr>
          <w:szCs w:val="24"/>
        </w:rPr>
        <w:t xml:space="preserve"> </w:t>
      </w:r>
      <w:r w:rsidR="00450BCE">
        <w:rPr>
          <w:szCs w:val="24"/>
        </w:rPr>
        <w:t xml:space="preserve">Jednocześnie </w:t>
      </w:r>
      <w:r w:rsidR="008577F2">
        <w:rPr>
          <w:szCs w:val="24"/>
        </w:rPr>
        <w:t xml:space="preserve">w art. 9 ust. 2 </w:t>
      </w:r>
      <w:r w:rsidR="00450BCE">
        <w:rPr>
          <w:szCs w:val="24"/>
        </w:rPr>
        <w:t>z</w:t>
      </w:r>
      <w:r w:rsidR="00DD1DB0" w:rsidRPr="00397829">
        <w:rPr>
          <w:szCs w:val="24"/>
        </w:rPr>
        <w:t>aproponowano</w:t>
      </w:r>
      <w:r w:rsidR="00C33FC6">
        <w:rPr>
          <w:szCs w:val="24"/>
        </w:rPr>
        <w:t>,</w:t>
      </w:r>
      <w:r w:rsidR="00DD1DB0" w:rsidRPr="00397829">
        <w:rPr>
          <w:szCs w:val="24"/>
        </w:rPr>
        <w:t xml:space="preserve"> aby dotychczasowe przepisy wykonawcze zachowały moc do dnia wejścia w</w:t>
      </w:r>
      <w:r w:rsidR="00C33FC6">
        <w:rPr>
          <w:szCs w:val="24"/>
        </w:rPr>
        <w:t> </w:t>
      </w:r>
      <w:r w:rsidR="00DD1DB0" w:rsidRPr="00397829">
        <w:rPr>
          <w:szCs w:val="24"/>
        </w:rPr>
        <w:t xml:space="preserve"> życie przepisów wykonawczych wydanych na podstawie a</w:t>
      </w:r>
      <w:r>
        <w:rPr>
          <w:szCs w:val="24"/>
        </w:rPr>
        <w:t>rt. 15 ust. 4 ustawy zmienianej</w:t>
      </w:r>
      <w:r w:rsidR="00DD1DB0" w:rsidRPr="00397829">
        <w:rPr>
          <w:szCs w:val="24"/>
        </w:rPr>
        <w:t>.</w:t>
      </w:r>
    </w:p>
    <w:p w14:paraId="3C54FA64" w14:textId="77777777" w:rsidR="006E7044" w:rsidRPr="00117FC4" w:rsidRDefault="006E7044" w:rsidP="006522EF">
      <w:pPr>
        <w:widowControl/>
        <w:autoSpaceDE/>
        <w:autoSpaceDN/>
        <w:adjustRightInd/>
        <w:spacing w:before="120" w:after="120"/>
        <w:jc w:val="both"/>
        <w:rPr>
          <w:rFonts w:eastAsia="Times New Roman"/>
          <w:b/>
          <w:szCs w:val="24"/>
        </w:rPr>
      </w:pPr>
      <w:r w:rsidRPr="00117FC4">
        <w:rPr>
          <w:rFonts w:eastAsia="Times New Roman"/>
          <w:b/>
          <w:szCs w:val="24"/>
        </w:rPr>
        <w:t>Zmiany w ustawie - Prawo wodne</w:t>
      </w:r>
    </w:p>
    <w:p w14:paraId="23169E81" w14:textId="1A20251F" w:rsidR="004644C1" w:rsidRPr="00117FC4" w:rsidRDefault="004644C1" w:rsidP="006522EF">
      <w:pPr>
        <w:jc w:val="both"/>
        <w:rPr>
          <w:rFonts w:eastAsia="Calibri" w:cs="Times New Roman"/>
          <w:szCs w:val="24"/>
        </w:rPr>
      </w:pPr>
      <w:r w:rsidRPr="00117FC4">
        <w:rPr>
          <w:rFonts w:eastAsia="Times New Roman"/>
          <w:szCs w:val="24"/>
        </w:rPr>
        <w:t xml:space="preserve">Zmiany zaproponowane w art. </w:t>
      </w:r>
      <w:r w:rsidR="008D3F26">
        <w:rPr>
          <w:rFonts w:eastAsia="Times New Roman"/>
          <w:szCs w:val="24"/>
        </w:rPr>
        <w:t>7</w:t>
      </w:r>
      <w:r w:rsidRPr="00117FC4">
        <w:rPr>
          <w:rFonts w:eastAsia="Times New Roman"/>
          <w:szCs w:val="24"/>
        </w:rPr>
        <w:t xml:space="preserve">, dotyczące </w:t>
      </w:r>
      <w:r w:rsidRPr="00117FC4">
        <w:rPr>
          <w:rFonts w:eastAsia="Calibri" w:cs="Times New Roman"/>
          <w:szCs w:val="24"/>
        </w:rPr>
        <w:t xml:space="preserve">ustawy </w:t>
      </w:r>
      <w:r w:rsidRPr="00117FC4">
        <w:rPr>
          <w:rFonts w:eastAsia="Calibri"/>
        </w:rPr>
        <w:t xml:space="preserve">z dnia 20 lipca 2017 r. </w:t>
      </w:r>
      <w:r w:rsidRPr="00117FC4">
        <w:rPr>
          <w:bCs/>
          <w:szCs w:val="24"/>
        </w:rPr>
        <w:t>–</w:t>
      </w:r>
      <w:r w:rsidRPr="00117FC4">
        <w:rPr>
          <w:rFonts w:eastAsia="Calibri"/>
        </w:rPr>
        <w:t xml:space="preserve"> Prawo wodne (</w:t>
      </w:r>
      <w:r w:rsidRPr="00117FC4">
        <w:rPr>
          <w:rFonts w:eastAsia="Calibri"/>
          <w:lang w:eastAsia="en-US"/>
        </w:rPr>
        <w:t>Dz. U. z 2021 r. poz. 624</w:t>
      </w:r>
      <w:r w:rsidR="00E251C9">
        <w:rPr>
          <w:rFonts w:eastAsia="Calibri"/>
          <w:lang w:eastAsia="en-US"/>
        </w:rPr>
        <w:t xml:space="preserve"> i</w:t>
      </w:r>
      <w:r w:rsidR="00306E7D">
        <w:rPr>
          <w:rFonts w:eastAsia="Calibri"/>
          <w:lang w:eastAsia="en-US"/>
        </w:rPr>
        <w:t xml:space="preserve"> </w:t>
      </w:r>
      <w:r w:rsidR="00E251C9">
        <w:rPr>
          <w:rFonts w:eastAsia="Calibri"/>
          <w:lang w:eastAsia="en-US"/>
        </w:rPr>
        <w:t>784</w:t>
      </w:r>
      <w:r w:rsidRPr="00117FC4">
        <w:rPr>
          <w:rFonts w:eastAsia="Calibri"/>
          <w:lang w:eastAsia="en-US"/>
        </w:rPr>
        <w:t>)</w:t>
      </w:r>
      <w:r w:rsidRPr="00117FC4">
        <w:rPr>
          <w:rFonts w:eastAsia="Times New Roman" w:cs="Times New Roman"/>
          <w:szCs w:val="24"/>
        </w:rPr>
        <w:t xml:space="preserve">, zwanej dalej „ustawą </w:t>
      </w:r>
      <w:r w:rsidRPr="00117FC4">
        <w:rPr>
          <w:bCs/>
          <w:szCs w:val="24"/>
        </w:rPr>
        <w:t>–</w:t>
      </w:r>
      <w:r w:rsidRPr="00117FC4">
        <w:rPr>
          <w:rFonts w:eastAsia="Calibri"/>
        </w:rPr>
        <w:t xml:space="preserve"> Prawo wodne</w:t>
      </w:r>
      <w:r w:rsidRPr="00117FC4">
        <w:rPr>
          <w:rFonts w:eastAsia="Times New Roman" w:cs="Times New Roman"/>
          <w:szCs w:val="24"/>
        </w:rPr>
        <w:t>”</w:t>
      </w:r>
      <w:r w:rsidRPr="00117FC4">
        <w:rPr>
          <w:rFonts w:eastAsia="Calibri" w:cs="Times New Roman"/>
          <w:szCs w:val="24"/>
        </w:rPr>
        <w:t xml:space="preserve">, </w:t>
      </w:r>
      <w:r w:rsidRPr="00117FC4">
        <w:rPr>
          <w:rFonts w:cs="Times New Roman"/>
          <w:szCs w:val="24"/>
        </w:rPr>
        <w:t>związane są z</w:t>
      </w:r>
      <w:r w:rsidR="00E251C9">
        <w:rPr>
          <w:rFonts w:cs="Times New Roman"/>
          <w:szCs w:val="24"/>
        </w:rPr>
        <w:t> </w:t>
      </w:r>
      <w:r w:rsidRPr="00117FC4">
        <w:rPr>
          <w:rFonts w:cs="Times New Roman"/>
          <w:szCs w:val="24"/>
        </w:rPr>
        <w:t xml:space="preserve"> realizowanymi i planowanymi do realizacji w ramach PROW 2014</w:t>
      </w:r>
      <w:r w:rsidRPr="00117FC4">
        <w:rPr>
          <w:rFonts w:eastAsia="Times New Roman"/>
          <w:szCs w:val="24"/>
        </w:rPr>
        <w:t>–</w:t>
      </w:r>
      <w:r w:rsidRPr="00117FC4">
        <w:rPr>
          <w:rFonts w:cs="Times New Roman"/>
          <w:szCs w:val="24"/>
        </w:rPr>
        <w:t xml:space="preserve">2020 działaniami dotyczącymi gospodarki wodnej na obszarach wiejskich, tj. działania dotyczącego nawadniania w gospodarstwie (4.1.3) oraz planowanego wsparcia dla spółek wodnych w przebudowie istniejących urządzeń melioracyjnych z funkcji odwadniających na nawadniająco-odwadniające (5.1). </w:t>
      </w:r>
    </w:p>
    <w:p w14:paraId="35CB7BFA" w14:textId="77777777" w:rsidR="004644C1" w:rsidRPr="00117FC4" w:rsidRDefault="004644C1" w:rsidP="006522EF">
      <w:pPr>
        <w:tabs>
          <w:tab w:val="right" w:pos="9072"/>
        </w:tabs>
        <w:spacing w:before="120"/>
        <w:jc w:val="both"/>
        <w:rPr>
          <w:rFonts w:eastAsia="Calibri" w:cs="Times New Roman"/>
          <w:szCs w:val="24"/>
        </w:rPr>
      </w:pPr>
      <w:r w:rsidRPr="00117FC4">
        <w:rPr>
          <w:rFonts w:eastAsia="Times New Roman" w:cs="Times New Roman"/>
          <w:szCs w:val="24"/>
        </w:rPr>
        <w:lastRenderedPageBreak/>
        <w:t>Celem proponowanych zmian jest uproszczenie przepisów w zakresie gospodarowania zasobami wodnymi w rolnictwie, w tym dotyczących retencji wody, jak i zatrzymywania jej odpływu na terenach rolnych, w szczególności w urządzeniach melioracji wodnych. Woda stanowi jeden z istotniejszych czynników warunkujących poziom produkcji rolnej, dlatego producenci rolni powinni móc ją wykorzystywać w sposób efektywny, przy zapewnieniu spełniania wymogów środowiskowych.</w:t>
      </w:r>
    </w:p>
    <w:p w14:paraId="5A5FF9BD" w14:textId="77777777" w:rsidR="004644C1" w:rsidRPr="00117FC4" w:rsidRDefault="004644C1" w:rsidP="006522EF">
      <w:pPr>
        <w:spacing w:before="120"/>
        <w:jc w:val="both"/>
        <w:rPr>
          <w:rFonts w:eastAsia="Times New Roman" w:cs="Times New Roman"/>
          <w:szCs w:val="24"/>
        </w:rPr>
      </w:pPr>
      <w:r w:rsidRPr="00117FC4">
        <w:rPr>
          <w:rFonts w:eastAsia="Times New Roman" w:cs="Times New Roman"/>
          <w:szCs w:val="24"/>
        </w:rPr>
        <w:t xml:space="preserve">Zmiana w art. 33 ust. 4 ustawy – Prawo wodne, dotyczy modyfikacji pojęcia zwykłego korzystania z wód poprzez objęcie nim korzystania z wody w rowie lub stawie, znajdującej się w granicach nieruchomości gruntowej stanowiącej własność właściciela, o ile nie narusza interesu osób trzecich. Woda w rowie oraz woda w stawie, który nie jest napełniany w ramach usług wodnych, ale wyłącznie wodami opadowymi lub roztopowymi lub wodami gruntowymi, stanowi, co do zasady, wodę stojącą. Oznacza to, że właściciel danego terenu, który posiada staw albo rów, który jest zasilany wodami opadowymi lub roztopowymi, może korzystać z tej wody do celów prowadzenia m.in. działalności rolniczej w ramach zwykłego korzystania z wód bez limitowania ilości tej wody przeznaczonej do wykorzystania. </w:t>
      </w:r>
    </w:p>
    <w:p w14:paraId="2EFCB249" w14:textId="77777777" w:rsidR="004644C1" w:rsidRPr="00117FC4" w:rsidRDefault="004644C1" w:rsidP="006522EF">
      <w:pPr>
        <w:widowControl/>
        <w:autoSpaceDE/>
        <w:autoSpaceDN/>
        <w:adjustRightInd/>
        <w:spacing w:before="120"/>
        <w:jc w:val="both"/>
        <w:rPr>
          <w:rFonts w:eastAsia="Times New Roman"/>
          <w:szCs w:val="24"/>
        </w:rPr>
      </w:pPr>
      <w:r w:rsidRPr="00117FC4">
        <w:rPr>
          <w:rFonts w:eastAsia="Times New Roman"/>
          <w:szCs w:val="24"/>
        </w:rPr>
        <w:t xml:space="preserve">Zmiana proponowana w art. 199 ust. 3 pkt 2 </w:t>
      </w:r>
      <w:r w:rsidRPr="00117FC4">
        <w:rPr>
          <w:rFonts w:eastAsia="Times New Roman" w:cs="Times New Roman"/>
          <w:szCs w:val="24"/>
        </w:rPr>
        <w:t>ustawy – Prawo wodne</w:t>
      </w:r>
      <w:r w:rsidRPr="00117FC4">
        <w:rPr>
          <w:rFonts w:eastAsia="Times New Roman"/>
          <w:szCs w:val="24"/>
        </w:rPr>
        <w:t xml:space="preserve"> ma na celu odpowiednie unormowanie w przepisach właściwych dla nowego typu operacji w ramach poddziałania</w:t>
      </w:r>
      <w:r w:rsidRPr="00117FC4">
        <w:rPr>
          <w:rFonts w:eastAsia="Calibri"/>
        </w:rPr>
        <w:t>, o</w:t>
      </w:r>
      <w:r w:rsidR="00836B10">
        <w:rPr>
          <w:rFonts w:eastAsia="Calibri"/>
        </w:rPr>
        <w:t> </w:t>
      </w:r>
      <w:r w:rsidRPr="00117FC4">
        <w:rPr>
          <w:rFonts w:eastAsia="Calibri"/>
        </w:rPr>
        <w:t xml:space="preserve"> którym mowa w </w:t>
      </w:r>
      <w:hyperlink r:id="rId10" w:anchor="mip42304669" w:history="1">
        <w:r w:rsidRPr="00117FC4">
          <w:t>art. 3 ust. 1 pkt 4 lit. c</w:t>
        </w:r>
      </w:hyperlink>
      <w:r w:rsidRPr="00117FC4">
        <w:t xml:space="preserve"> ustawy o PROW 2014–2020, możliwości współfinansowania kosztów wykonywania </w:t>
      </w:r>
      <w:r w:rsidRPr="00117FC4">
        <w:rPr>
          <w:rFonts w:eastAsia="Calibri" w:cs="Times New Roman"/>
          <w:szCs w:val="24"/>
        </w:rPr>
        <w:t>urządzeń wodnych innych niż urządzenia melioracji wodnych, ze</w:t>
      </w:r>
      <w:r w:rsidRPr="00117FC4">
        <w:rPr>
          <w:rFonts w:eastAsia="Calibri" w:cs="Times New Roman"/>
          <w:szCs w:val="24"/>
          <w:lang w:eastAsia="en-US"/>
        </w:rPr>
        <w:t xml:space="preserve"> środków publicznych na zasadach określonych w przepisach ustawy o PROW 2014–2020.</w:t>
      </w:r>
    </w:p>
    <w:p w14:paraId="2F506034" w14:textId="77777777" w:rsidR="004644C1" w:rsidRPr="00117FC4" w:rsidRDefault="004644C1" w:rsidP="006522EF">
      <w:pPr>
        <w:pStyle w:val="ARTartustawynprozporzdzenia"/>
        <w:ind w:firstLine="0"/>
        <w:rPr>
          <w:rStyle w:val="Kkursywa"/>
          <w:rFonts w:ascii="Times New Roman" w:hAnsi="Times New Roman" w:cs="Times New Roman"/>
          <w:i w:val="0"/>
          <w:iCs/>
          <w:szCs w:val="24"/>
        </w:rPr>
      </w:pPr>
      <w:r w:rsidRPr="00117FC4">
        <w:rPr>
          <w:rFonts w:ascii="Times New Roman" w:hAnsi="Times New Roman" w:cs="Times New Roman"/>
          <w:szCs w:val="24"/>
        </w:rPr>
        <w:t xml:space="preserve">Retencjonowanie wody, w szczególności opadowej i roztopowej, stanowi duże wyzwanie </w:t>
      </w:r>
      <w:r w:rsidR="00AC1691" w:rsidRPr="00117FC4">
        <w:rPr>
          <w:rFonts w:ascii="Times New Roman" w:hAnsi="Times New Roman" w:cs="Times New Roman"/>
          <w:szCs w:val="24"/>
        </w:rPr>
        <w:br/>
      </w:r>
      <w:r w:rsidRPr="00117FC4">
        <w:rPr>
          <w:rFonts w:ascii="Times New Roman" w:hAnsi="Times New Roman" w:cs="Times New Roman"/>
          <w:szCs w:val="24"/>
        </w:rPr>
        <w:t>i jest niezbędnym elementem efektywnego wykorzystywania zasobów wodnych, nie tylko w</w:t>
      </w:r>
      <w:r w:rsidR="00836B10">
        <w:rPr>
          <w:rFonts w:ascii="Times New Roman" w:hAnsi="Times New Roman" w:cs="Times New Roman"/>
          <w:szCs w:val="24"/>
        </w:rPr>
        <w:t> </w:t>
      </w:r>
      <w:r w:rsidRPr="00117FC4">
        <w:rPr>
          <w:rFonts w:ascii="Times New Roman" w:hAnsi="Times New Roman" w:cs="Times New Roman"/>
          <w:szCs w:val="24"/>
        </w:rPr>
        <w:t xml:space="preserve"> rolnictwie, ale również w innych sektorach gospodarki. Rolnicy mogą magazynować wodę opadową czy roztopową w stawach</w:t>
      </w:r>
      <w:r w:rsidRPr="00117FC4">
        <w:rPr>
          <w:rFonts w:ascii="Times New Roman" w:hAnsi="Times New Roman" w:cs="Times New Roman"/>
          <w:i/>
          <w:szCs w:val="24"/>
        </w:rPr>
        <w:t xml:space="preserve">. </w:t>
      </w:r>
      <w:r w:rsidRPr="00117FC4">
        <w:rPr>
          <w:rStyle w:val="Kkursywa"/>
          <w:rFonts w:ascii="Times New Roman" w:hAnsi="Times New Roman" w:cs="Times New Roman"/>
          <w:i w:val="0"/>
          <w:iCs/>
          <w:szCs w:val="24"/>
        </w:rPr>
        <w:t>Aby ułatwić wykonanie stawu, który będzie miał funkcje retencyjne proponuje się uproszczenie przepisów w tym zakresie.</w:t>
      </w:r>
    </w:p>
    <w:p w14:paraId="398781E2" w14:textId="77777777" w:rsidR="004644C1" w:rsidRPr="00117FC4" w:rsidRDefault="004644C1" w:rsidP="006522EF">
      <w:pPr>
        <w:pStyle w:val="ARTartustawynprozporzdzenia"/>
        <w:ind w:firstLine="0"/>
        <w:rPr>
          <w:rFonts w:ascii="Times New Roman" w:hAnsi="Times New Roman" w:cs="Times New Roman"/>
          <w:szCs w:val="24"/>
        </w:rPr>
      </w:pPr>
      <w:r w:rsidRPr="00117FC4">
        <w:rPr>
          <w:rFonts w:ascii="Times New Roman" w:eastAsia="Times New Roman" w:hAnsi="Times New Roman" w:cs="Times New Roman"/>
          <w:szCs w:val="24"/>
          <w:shd w:val="clear" w:color="auto" w:fill="FFFFFF"/>
        </w:rPr>
        <w:t xml:space="preserve">Obecnie, co do zasady, </w:t>
      </w:r>
      <w:r w:rsidR="00AC1691" w:rsidRPr="00117FC4">
        <w:rPr>
          <w:rFonts w:ascii="Times New Roman" w:eastAsia="Times New Roman" w:hAnsi="Times New Roman" w:cs="Times New Roman"/>
          <w:szCs w:val="24"/>
          <w:shd w:val="clear" w:color="auto" w:fill="FFFFFF"/>
        </w:rPr>
        <w:t xml:space="preserve">budowa </w:t>
      </w:r>
      <w:r w:rsidRPr="00117FC4">
        <w:rPr>
          <w:rFonts w:ascii="Times New Roman" w:eastAsia="Times New Roman" w:hAnsi="Times New Roman" w:cs="Times New Roman"/>
          <w:szCs w:val="24"/>
          <w:shd w:val="clear" w:color="auto" w:fill="FFFFFF"/>
        </w:rPr>
        <w:t>stawów wymaga uzyskania pozwolenia wodnoprawnego. W</w:t>
      </w:r>
      <w:r w:rsidR="00836B10">
        <w:rPr>
          <w:rFonts w:ascii="Times New Roman" w:eastAsia="Times New Roman" w:hAnsi="Times New Roman" w:cs="Times New Roman"/>
          <w:szCs w:val="24"/>
          <w:shd w:val="clear" w:color="auto" w:fill="FFFFFF"/>
        </w:rPr>
        <w:t> </w:t>
      </w:r>
      <w:r w:rsidRPr="00117FC4">
        <w:rPr>
          <w:rFonts w:ascii="Times New Roman" w:eastAsia="Times New Roman" w:hAnsi="Times New Roman" w:cs="Times New Roman"/>
          <w:szCs w:val="24"/>
          <w:shd w:val="clear" w:color="auto" w:fill="FFFFFF"/>
        </w:rPr>
        <w:t xml:space="preserve"> uproszczonej formule, tj. na podstawie zgłoszenia wodnoprawnego, można </w:t>
      </w:r>
      <w:r w:rsidR="00AC1691" w:rsidRPr="00117FC4">
        <w:rPr>
          <w:rFonts w:ascii="Times New Roman" w:eastAsia="Times New Roman" w:hAnsi="Times New Roman" w:cs="Times New Roman"/>
          <w:szCs w:val="24"/>
          <w:shd w:val="clear" w:color="auto" w:fill="FFFFFF"/>
        </w:rPr>
        <w:t xml:space="preserve">budować </w:t>
      </w:r>
      <w:r w:rsidRPr="00117FC4">
        <w:rPr>
          <w:rFonts w:ascii="Times New Roman" w:eastAsia="Times New Roman" w:hAnsi="Times New Roman" w:cs="Times New Roman"/>
          <w:szCs w:val="24"/>
          <w:shd w:val="clear" w:color="auto" w:fill="FFFFFF"/>
        </w:rPr>
        <w:t>jedynie stawy o powierzchni do 1000 m</w:t>
      </w:r>
      <w:r w:rsidRPr="00117FC4">
        <w:rPr>
          <w:rFonts w:ascii="Times New Roman" w:eastAsia="Times New Roman" w:hAnsi="Times New Roman" w:cs="Times New Roman"/>
          <w:szCs w:val="24"/>
          <w:shd w:val="clear" w:color="auto" w:fill="FFFFFF"/>
          <w:vertAlign w:val="superscript"/>
        </w:rPr>
        <w:t>2</w:t>
      </w:r>
      <w:r w:rsidRPr="00117FC4">
        <w:rPr>
          <w:rFonts w:ascii="Times New Roman" w:eastAsia="Times New Roman" w:hAnsi="Times New Roman" w:cs="Times New Roman"/>
          <w:szCs w:val="24"/>
          <w:shd w:val="clear" w:color="auto" w:fill="FFFFFF"/>
        </w:rPr>
        <w:t xml:space="preserve"> i głębokości do 3 m, jeżeli </w:t>
      </w:r>
      <w:r w:rsidRPr="00117FC4">
        <w:rPr>
          <w:rFonts w:ascii="Times New Roman" w:hAnsi="Times New Roman" w:cs="Times New Roman"/>
          <w:szCs w:val="24"/>
        </w:rPr>
        <w:t xml:space="preserve">zasięg oddziaływania stawu nie wykracza poza granice terenu, którego </w:t>
      </w:r>
      <w:r w:rsidR="00826F7B" w:rsidRPr="00117FC4">
        <w:rPr>
          <w:rFonts w:ascii="Times New Roman" w:hAnsi="Times New Roman" w:cs="Times New Roman"/>
          <w:szCs w:val="24"/>
        </w:rPr>
        <w:t xml:space="preserve">zakład </w:t>
      </w:r>
      <w:r w:rsidRPr="00117FC4">
        <w:rPr>
          <w:rFonts w:ascii="Times New Roman" w:hAnsi="Times New Roman" w:cs="Times New Roman"/>
          <w:szCs w:val="24"/>
        </w:rPr>
        <w:t xml:space="preserve">jest właścicielem. Zmiana w art. 394 ust. 1 pkt 9 rozszerza uproszczoną formułę na stawy o powierzchni nieprzekraczającej </w:t>
      </w:r>
      <w:r w:rsidR="00826F7B" w:rsidRPr="00117FC4">
        <w:rPr>
          <w:rFonts w:ascii="Times New Roman" w:hAnsi="Times New Roman" w:cs="Times New Roman"/>
          <w:szCs w:val="24"/>
        </w:rPr>
        <w:t xml:space="preserve">5000 </w:t>
      </w:r>
      <w:r w:rsidRPr="00117FC4">
        <w:rPr>
          <w:rFonts w:ascii="Times New Roman" w:hAnsi="Times New Roman" w:cs="Times New Roman"/>
          <w:szCs w:val="24"/>
        </w:rPr>
        <w:t>m</w:t>
      </w:r>
      <w:r w:rsidRPr="00117FC4">
        <w:rPr>
          <w:rFonts w:ascii="Times New Roman" w:hAnsi="Times New Roman" w:cs="Times New Roman"/>
          <w:szCs w:val="24"/>
          <w:vertAlign w:val="superscript"/>
        </w:rPr>
        <w:t>2</w:t>
      </w:r>
      <w:r w:rsidRPr="00117FC4">
        <w:rPr>
          <w:rFonts w:ascii="Times New Roman" w:hAnsi="Times New Roman" w:cs="Times New Roman"/>
          <w:szCs w:val="24"/>
        </w:rPr>
        <w:t xml:space="preserve">. Dodatkowo, na podstawie zgłoszenia wodnoprawnego będzie można </w:t>
      </w:r>
      <w:r w:rsidR="00AC1691" w:rsidRPr="00117FC4">
        <w:rPr>
          <w:rFonts w:ascii="Times New Roman" w:hAnsi="Times New Roman" w:cs="Times New Roman"/>
          <w:szCs w:val="24"/>
        </w:rPr>
        <w:t xml:space="preserve">budować </w:t>
      </w:r>
      <w:r w:rsidRPr="00117FC4">
        <w:rPr>
          <w:rFonts w:ascii="Times New Roman" w:hAnsi="Times New Roman" w:cs="Times New Roman"/>
          <w:szCs w:val="24"/>
        </w:rPr>
        <w:t xml:space="preserve">staw </w:t>
      </w:r>
      <w:r w:rsidR="00AC1691" w:rsidRPr="00117FC4">
        <w:rPr>
          <w:rFonts w:ascii="Times New Roman" w:hAnsi="Times New Roman" w:cs="Times New Roman"/>
          <w:szCs w:val="24"/>
        </w:rPr>
        <w:br/>
      </w:r>
      <w:r w:rsidRPr="00117FC4">
        <w:rPr>
          <w:rFonts w:ascii="Times New Roman" w:hAnsi="Times New Roman" w:cs="Times New Roman"/>
          <w:szCs w:val="24"/>
        </w:rPr>
        <w:lastRenderedPageBreak/>
        <w:t>o wymienionej wielkości także wówczas, gdy w zasięgu jego oddziaływania znajdują się grunty innych właścicieli, za pisemną zgodą tych właścicieli.</w:t>
      </w:r>
    </w:p>
    <w:p w14:paraId="1E8E9086" w14:textId="77777777" w:rsidR="004644C1" w:rsidRPr="00117FC4" w:rsidRDefault="004644C1" w:rsidP="006522EF">
      <w:pPr>
        <w:pStyle w:val="ARTartustawynprozporzdzenia"/>
        <w:ind w:firstLine="0"/>
        <w:rPr>
          <w:rFonts w:ascii="Times New Roman" w:hAnsi="Times New Roman" w:cs="Times New Roman"/>
          <w:szCs w:val="24"/>
        </w:rPr>
      </w:pPr>
      <w:r w:rsidRPr="00117FC4">
        <w:rPr>
          <w:rFonts w:ascii="Times New Roman" w:hAnsi="Times New Roman" w:cs="Times New Roman"/>
          <w:szCs w:val="24"/>
        </w:rPr>
        <w:t>Wykonanie większych stawów, tj. powyżej 5000 m</w:t>
      </w:r>
      <w:r w:rsidRPr="00117FC4">
        <w:rPr>
          <w:rFonts w:ascii="Times New Roman" w:hAnsi="Times New Roman" w:cs="Times New Roman"/>
          <w:szCs w:val="24"/>
          <w:vertAlign w:val="superscript"/>
        </w:rPr>
        <w:t>2</w:t>
      </w:r>
      <w:r w:rsidRPr="00117FC4">
        <w:rPr>
          <w:rFonts w:ascii="Times New Roman" w:hAnsi="Times New Roman" w:cs="Times New Roman"/>
          <w:szCs w:val="24"/>
        </w:rPr>
        <w:t xml:space="preserve">, </w:t>
      </w:r>
      <w:r w:rsidRPr="00117FC4">
        <w:rPr>
          <w:rFonts w:ascii="Times New Roman" w:hAnsi="Times New Roman" w:cs="Times New Roman"/>
          <w:szCs w:val="24"/>
          <w:vertAlign w:val="superscript"/>
        </w:rPr>
        <w:t xml:space="preserve"> </w:t>
      </w:r>
      <w:r w:rsidRPr="00117FC4">
        <w:rPr>
          <w:rFonts w:ascii="Times New Roman" w:hAnsi="Times New Roman" w:cs="Times New Roman"/>
          <w:szCs w:val="24"/>
        </w:rPr>
        <w:t xml:space="preserve">nadal będzie wymagało pozwolenia wodnoprawnego. </w:t>
      </w:r>
    </w:p>
    <w:p w14:paraId="5E4B1ADA" w14:textId="77777777" w:rsidR="004644C1" w:rsidRDefault="004644C1" w:rsidP="006522EF">
      <w:pPr>
        <w:pStyle w:val="ARTartustawynprozporzdzenia"/>
        <w:ind w:firstLine="0"/>
        <w:rPr>
          <w:rStyle w:val="Kkursywa"/>
          <w:rFonts w:ascii="Times New Roman" w:hAnsi="Times New Roman" w:cs="Times New Roman"/>
          <w:i w:val="0"/>
          <w:szCs w:val="24"/>
        </w:rPr>
      </w:pPr>
      <w:r w:rsidRPr="00117FC4">
        <w:rPr>
          <w:rFonts w:ascii="Times New Roman" w:hAnsi="Times New Roman" w:cs="Times New Roman"/>
          <w:bCs/>
          <w:szCs w:val="24"/>
        </w:rPr>
        <w:t>Zmiany w art. 395 pkt 11</w:t>
      </w:r>
      <w:r w:rsidRPr="00117FC4">
        <w:t>–</w:t>
      </w:r>
      <w:r w:rsidRPr="00117FC4">
        <w:rPr>
          <w:rFonts w:ascii="Times New Roman" w:hAnsi="Times New Roman" w:cs="Times New Roman"/>
          <w:bCs/>
          <w:szCs w:val="24"/>
        </w:rPr>
        <w:t>12, 15</w:t>
      </w:r>
      <w:r w:rsidRPr="00117FC4">
        <w:t>–</w:t>
      </w:r>
      <w:r w:rsidRPr="00117FC4">
        <w:rPr>
          <w:rFonts w:ascii="Times New Roman" w:hAnsi="Times New Roman" w:cs="Times New Roman"/>
          <w:bCs/>
          <w:szCs w:val="24"/>
        </w:rPr>
        <w:t xml:space="preserve">16 ustawy – </w:t>
      </w:r>
      <w:r w:rsidRPr="00117FC4">
        <w:rPr>
          <w:rFonts w:ascii="Times New Roman" w:hAnsi="Times New Roman" w:cs="Times New Roman"/>
          <w:bCs/>
          <w:iCs/>
          <w:szCs w:val="24"/>
        </w:rPr>
        <w:t>Prawo wodne</w:t>
      </w:r>
      <w:r w:rsidRPr="00117FC4">
        <w:rPr>
          <w:rFonts w:ascii="Times New Roman" w:hAnsi="Times New Roman" w:cs="Times New Roman"/>
          <w:bCs/>
          <w:szCs w:val="24"/>
        </w:rPr>
        <w:t xml:space="preserve"> rozszerzają możliwości zatrzymywania wody i hamowania jej odpływu bez konieczności uzyskania pozwolenia wodnoprawnego lub zgłoszenia wodnoprawnego. </w:t>
      </w:r>
      <w:r w:rsidRPr="00117FC4">
        <w:rPr>
          <w:rFonts w:ascii="Times New Roman" w:hAnsi="Times New Roman" w:cs="Times New Roman"/>
          <w:szCs w:val="24"/>
        </w:rPr>
        <w:t xml:space="preserve">Na podstawie pkt 11 i 12 możliwe będzie zatrzymywanie wody w rowach i obiektach drenarskich, a </w:t>
      </w:r>
      <w:r w:rsidRPr="00117FC4">
        <w:rPr>
          <w:rStyle w:val="Kkursywa"/>
          <w:rFonts w:ascii="Times New Roman" w:hAnsi="Times New Roman" w:cs="Times New Roman"/>
          <w:i w:val="0"/>
          <w:szCs w:val="24"/>
        </w:rPr>
        <w:t xml:space="preserve">na podstawie pkt 15 i 16 możliwa będzie przebudowa rowu i obiektu drenarskiego, niezbędna do zatrzymywania wody. Dodano także warunek, zgodnie z którym, gdy podejmowane działania mają oddziaływanie na sąsiednie działki – wtedy wymagana jest uprzednia, pisemna zgoda właścicieli tych działek. Taki przepis pozwoli na szersze podejmowanie działań w zakresie zatrzymywania i hamowania odpływu wody za pomocą urządzeń melioracji wodnych, co będzie miało pozytywny wpływ na stosunki wodne na danym terenie. </w:t>
      </w:r>
    </w:p>
    <w:p w14:paraId="0252038D" w14:textId="04804B7D" w:rsidR="005A2F5C" w:rsidRPr="00117FC4" w:rsidRDefault="005A2F5C" w:rsidP="005A2F5C">
      <w:pPr>
        <w:pStyle w:val="ARTartustawynprozporzdzenia"/>
        <w:spacing w:after="120"/>
        <w:ind w:firstLine="0"/>
        <w:rPr>
          <w:rStyle w:val="Kkursywa"/>
          <w:rFonts w:ascii="Times New Roman" w:hAnsi="Times New Roman" w:cs="Times New Roman"/>
          <w:i w:val="0"/>
          <w:szCs w:val="24"/>
        </w:rPr>
      </w:pPr>
      <w:r>
        <w:rPr>
          <w:rStyle w:val="Kkursywa"/>
          <w:rFonts w:ascii="Times New Roman" w:hAnsi="Times New Roman" w:cs="Times New Roman"/>
          <w:i w:val="0"/>
          <w:szCs w:val="24"/>
        </w:rPr>
        <w:t xml:space="preserve">W art. </w:t>
      </w:r>
      <w:r w:rsidR="008D3F26">
        <w:rPr>
          <w:rStyle w:val="Kkursywa"/>
          <w:rFonts w:ascii="Times New Roman" w:hAnsi="Times New Roman" w:cs="Times New Roman"/>
          <w:i w:val="0"/>
          <w:szCs w:val="24"/>
        </w:rPr>
        <w:t xml:space="preserve">8 </w:t>
      </w:r>
      <w:r>
        <w:rPr>
          <w:rStyle w:val="Kkursywa"/>
          <w:rFonts w:ascii="Times New Roman" w:hAnsi="Times New Roman" w:cs="Times New Roman"/>
          <w:i w:val="0"/>
          <w:szCs w:val="24"/>
        </w:rPr>
        <w:t>ust. 1 projektowanej ustawy zaproponowano przepis przejściowy dotyczący utrzymania w mocy</w:t>
      </w:r>
      <w:r w:rsidRPr="003A05F4">
        <w:rPr>
          <w:rFonts w:ascii="Times New Roman" w:hAnsi="Times New Roman"/>
        </w:rPr>
        <w:t xml:space="preserve"> </w:t>
      </w:r>
      <w:r>
        <w:rPr>
          <w:rFonts w:ascii="Times New Roman" w:hAnsi="Times New Roman"/>
        </w:rPr>
        <w:t>przepisów wykonawczych wydanych</w:t>
      </w:r>
      <w:r w:rsidRPr="003A05F4">
        <w:rPr>
          <w:rFonts w:ascii="Times New Roman" w:hAnsi="Times New Roman"/>
        </w:rPr>
        <w:t xml:space="preserve"> na podstawie art</w:t>
      </w:r>
      <w:r>
        <w:rPr>
          <w:rFonts w:ascii="Times New Roman" w:hAnsi="Times New Roman"/>
        </w:rPr>
        <w:t xml:space="preserve">. 58 ustawy zmienianej w art. </w:t>
      </w:r>
      <w:r w:rsidR="008D3F26">
        <w:rPr>
          <w:rFonts w:ascii="Times New Roman" w:hAnsi="Times New Roman"/>
        </w:rPr>
        <w:t>5</w:t>
      </w:r>
      <w:r>
        <w:rPr>
          <w:rFonts w:ascii="Times New Roman" w:hAnsi="Times New Roman"/>
        </w:rPr>
        <w:t>, które</w:t>
      </w:r>
      <w:r w:rsidRPr="003A05F4">
        <w:rPr>
          <w:rFonts w:ascii="Times New Roman" w:hAnsi="Times New Roman"/>
        </w:rPr>
        <w:t xml:space="preserve"> mogą być zmieniane na podstawie tego przepisu.</w:t>
      </w:r>
      <w:r>
        <w:rPr>
          <w:rFonts w:ascii="Times New Roman" w:hAnsi="Times New Roman"/>
        </w:rPr>
        <w:t xml:space="preserve"> Chodzi o  rozporządzenie </w:t>
      </w:r>
      <w:r w:rsidRPr="001D6DA5">
        <w:rPr>
          <w:rFonts w:ascii="Times New Roman" w:hAnsi="Times New Roman"/>
        </w:rPr>
        <w:t xml:space="preserve">Ministra Rolnictwa i Rozwoju Wsi z dnia 17 stycznia 2017 r. w sprawie krajowej sieci obszarów wiejskich w ramach Programu Rozwoju </w:t>
      </w:r>
      <w:r w:rsidR="008577F2">
        <w:rPr>
          <w:rFonts w:ascii="Times New Roman" w:hAnsi="Times New Roman"/>
        </w:rPr>
        <w:t>Obszarów Wiejskich na lata 2014–</w:t>
      </w:r>
      <w:r w:rsidRPr="001D6DA5">
        <w:rPr>
          <w:rFonts w:ascii="Times New Roman" w:hAnsi="Times New Roman"/>
        </w:rPr>
        <w:t>2020</w:t>
      </w:r>
      <w:r>
        <w:rPr>
          <w:rFonts w:ascii="Times New Roman" w:hAnsi="Times New Roman"/>
        </w:rPr>
        <w:t xml:space="preserve"> (Dz. U. poz.148). Z</w:t>
      </w:r>
      <w:r w:rsidRPr="003A05F4">
        <w:rPr>
          <w:rFonts w:ascii="Times New Roman" w:hAnsi="Times New Roman" w:cs="Times New Roman"/>
          <w:szCs w:val="24"/>
        </w:rPr>
        <w:t>miana przepisów materialnych</w:t>
      </w:r>
      <w:r>
        <w:rPr>
          <w:rFonts w:ascii="Times New Roman" w:hAnsi="Times New Roman" w:cs="Times New Roman"/>
          <w:szCs w:val="24"/>
        </w:rPr>
        <w:t xml:space="preserve"> ustawy zmienianej w art. </w:t>
      </w:r>
      <w:r w:rsidR="008D3F26">
        <w:rPr>
          <w:rFonts w:ascii="Times New Roman" w:hAnsi="Times New Roman" w:cs="Times New Roman"/>
          <w:szCs w:val="24"/>
        </w:rPr>
        <w:t>5</w:t>
      </w:r>
      <w:r w:rsidRPr="003A05F4">
        <w:rPr>
          <w:rFonts w:ascii="Times New Roman" w:hAnsi="Times New Roman" w:cs="Times New Roman"/>
          <w:szCs w:val="24"/>
        </w:rPr>
        <w:t xml:space="preserve"> pośrednio wpływa na regulacje jakie będą zawarte w rozporządzeniu wydanym na podstawie art. 58.</w:t>
      </w:r>
    </w:p>
    <w:p w14:paraId="1F5EF059" w14:textId="53640204" w:rsidR="0090715B" w:rsidRPr="00117FC4" w:rsidRDefault="004644C1" w:rsidP="00E84DA8">
      <w:pPr>
        <w:widowControl/>
        <w:autoSpaceDE/>
        <w:autoSpaceDN/>
        <w:adjustRightInd/>
        <w:jc w:val="both"/>
        <w:rPr>
          <w:rFonts w:eastAsia="Calibri" w:cs="Times New Roman"/>
          <w:szCs w:val="24"/>
        </w:rPr>
      </w:pPr>
      <w:r w:rsidRPr="00117FC4">
        <w:rPr>
          <w:rFonts w:eastAsia="Calibri" w:cs="Times New Roman"/>
          <w:szCs w:val="24"/>
        </w:rPr>
        <w:t xml:space="preserve">W art. </w:t>
      </w:r>
      <w:r w:rsidR="008D3F26">
        <w:rPr>
          <w:rFonts w:eastAsia="Calibri" w:cs="Times New Roman"/>
          <w:szCs w:val="24"/>
        </w:rPr>
        <w:t>9</w:t>
      </w:r>
      <w:r w:rsidR="006522EF" w:rsidRPr="00117FC4">
        <w:rPr>
          <w:rFonts w:eastAsia="Calibri" w:cs="Times New Roman"/>
          <w:szCs w:val="24"/>
        </w:rPr>
        <w:t xml:space="preserve"> </w:t>
      </w:r>
      <w:r w:rsidRPr="00117FC4">
        <w:rPr>
          <w:rFonts w:eastAsia="Calibri" w:cs="Times New Roman"/>
          <w:szCs w:val="24"/>
        </w:rPr>
        <w:t>projektowanej ustawy zaproponowano przepis przejściowy dotyczący zmian w</w:t>
      </w:r>
      <w:r w:rsidR="00836B10">
        <w:rPr>
          <w:rFonts w:eastAsia="Calibri" w:cs="Times New Roman"/>
          <w:szCs w:val="24"/>
        </w:rPr>
        <w:t> </w:t>
      </w:r>
      <w:r w:rsidRPr="00117FC4">
        <w:rPr>
          <w:rFonts w:eastAsia="Calibri" w:cs="Times New Roman"/>
          <w:szCs w:val="24"/>
        </w:rPr>
        <w:t xml:space="preserve"> ustawie o RLKS</w:t>
      </w:r>
      <w:r w:rsidR="00C10EAA" w:rsidRPr="00117FC4">
        <w:rPr>
          <w:rFonts w:eastAsia="Calibri" w:cs="Times New Roman"/>
          <w:szCs w:val="24"/>
          <w:lang w:eastAsia="en-US"/>
        </w:rPr>
        <w:t xml:space="preserve"> w zakresie </w:t>
      </w:r>
      <w:r w:rsidR="00BD5AA9" w:rsidRPr="00117FC4">
        <w:rPr>
          <w:rFonts w:eastAsia="Calibri" w:cs="Times New Roman"/>
          <w:szCs w:val="24"/>
          <w:lang w:eastAsia="en-US"/>
        </w:rPr>
        <w:t xml:space="preserve">wsparcia RLKS z udziałem środków </w:t>
      </w:r>
      <w:r w:rsidR="00BD5AA9" w:rsidRPr="00117FC4">
        <w:rPr>
          <w:rFonts w:eastAsia="Calibri" w:cs="Times New Roman"/>
          <w:szCs w:val="24"/>
          <w:lang w:eastAsia="en-US" w:bidi="pl-PL"/>
        </w:rPr>
        <w:t xml:space="preserve">Europejskiego Funduszu Morskiego i Rybackiego. </w:t>
      </w:r>
      <w:r w:rsidR="00BD5AA9" w:rsidRPr="00117FC4">
        <w:rPr>
          <w:rFonts w:eastAsia="Calibri" w:cs="Times New Roman"/>
          <w:szCs w:val="24"/>
        </w:rPr>
        <w:t>P</w:t>
      </w:r>
      <w:r w:rsidR="00BD5AA9" w:rsidRPr="00117FC4">
        <w:rPr>
          <w:rFonts w:eastAsia="Times New Roman" w:cs="Times New Roman"/>
          <w:bCs/>
          <w:szCs w:val="24"/>
        </w:rPr>
        <w:t xml:space="preserve">roponuje się, żeby </w:t>
      </w:r>
      <w:r w:rsidR="00BD5AA9" w:rsidRPr="00117FC4">
        <w:rPr>
          <w:rFonts w:eastAsia="Calibri" w:cs="Times New Roman"/>
          <w:szCs w:val="24"/>
        </w:rPr>
        <w:t xml:space="preserve">w zakresie dotyczącym </w:t>
      </w:r>
      <w:r w:rsidR="00BD5AA9" w:rsidRPr="00117FC4">
        <w:rPr>
          <w:rFonts w:eastAsia="Calibri" w:cs="Times New Roman"/>
          <w:szCs w:val="24"/>
          <w:lang w:eastAsia="en-US"/>
        </w:rPr>
        <w:t xml:space="preserve">realizacji RLKS, </w:t>
      </w:r>
      <w:r w:rsidR="00502DDB" w:rsidRPr="00117FC4">
        <w:rPr>
          <w:rFonts w:eastAsia="Calibri" w:cs="Times New Roman"/>
          <w:szCs w:val="24"/>
          <w:lang w:eastAsia="en-US"/>
        </w:rPr>
        <w:br/>
      </w:r>
      <w:r w:rsidR="00BD5AA9" w:rsidRPr="00117FC4">
        <w:rPr>
          <w:rFonts w:eastAsia="Calibri" w:cs="Times New Roman"/>
          <w:szCs w:val="24"/>
          <w:lang w:eastAsia="en-US"/>
        </w:rPr>
        <w:t xml:space="preserve">o którym mowa w części drugiej w tytule III w rozdziale II rozporządzenia (UE) nr 1303/2013, z udziałem środków </w:t>
      </w:r>
      <w:r w:rsidR="00BD5AA9" w:rsidRPr="00117FC4">
        <w:rPr>
          <w:rFonts w:eastAsia="Calibri" w:cs="Times New Roman"/>
          <w:szCs w:val="24"/>
          <w:lang w:eastAsia="en-US" w:bidi="pl-PL"/>
        </w:rPr>
        <w:t xml:space="preserve">Europejskiego Funduszu Morskiego i Rybackiego, </w:t>
      </w:r>
      <w:r w:rsidR="00BD5AA9" w:rsidRPr="00117FC4">
        <w:rPr>
          <w:rFonts w:eastAsia="Calibri" w:cs="Times New Roman"/>
          <w:szCs w:val="24"/>
        </w:rPr>
        <w:t xml:space="preserve">stosowane </w:t>
      </w:r>
      <w:r w:rsidR="00A943F1" w:rsidRPr="00117FC4">
        <w:rPr>
          <w:rFonts w:eastAsia="Calibri" w:cs="Times New Roman"/>
          <w:szCs w:val="24"/>
        </w:rPr>
        <w:t>były</w:t>
      </w:r>
      <w:r w:rsidR="00BD5AA9" w:rsidRPr="00117FC4">
        <w:rPr>
          <w:rFonts w:eastAsia="Calibri" w:cs="Times New Roman"/>
          <w:szCs w:val="24"/>
        </w:rPr>
        <w:t xml:space="preserve"> przepisy</w:t>
      </w:r>
      <w:r w:rsidR="00A943F1" w:rsidRPr="00117FC4">
        <w:rPr>
          <w:rFonts w:eastAsia="Calibri" w:cs="Times New Roman"/>
          <w:szCs w:val="24"/>
        </w:rPr>
        <w:t xml:space="preserve"> w brzmieniu </w:t>
      </w:r>
      <w:r w:rsidR="00EC7454" w:rsidRPr="00117FC4">
        <w:rPr>
          <w:rFonts w:eastAsia="Calibri" w:cs="Times New Roman"/>
          <w:szCs w:val="24"/>
        </w:rPr>
        <w:t>dotychczasowym</w:t>
      </w:r>
      <w:r w:rsidR="00BD5AA9" w:rsidRPr="00117FC4">
        <w:rPr>
          <w:rFonts w:eastAsia="Calibri" w:cs="Times New Roman"/>
          <w:szCs w:val="24"/>
        </w:rPr>
        <w:t xml:space="preserve">. </w:t>
      </w:r>
      <w:r w:rsidR="0090715B" w:rsidRPr="00117FC4">
        <w:rPr>
          <w:rFonts w:eastAsia="Calibri" w:cs="Times New Roman"/>
          <w:szCs w:val="24"/>
        </w:rPr>
        <w:t xml:space="preserve">Projekt ustawy (zgonie z decyzją ministra właściwego ds. rybołówstwa o </w:t>
      </w:r>
      <w:r w:rsidR="00EC7454" w:rsidRPr="00117FC4">
        <w:rPr>
          <w:rFonts w:eastAsia="Calibri" w:cs="Times New Roman"/>
          <w:szCs w:val="24"/>
        </w:rPr>
        <w:t>nieangażowaniu</w:t>
      </w:r>
      <w:r w:rsidR="0090715B" w:rsidRPr="00117FC4">
        <w:rPr>
          <w:rFonts w:eastAsia="Calibri" w:cs="Times New Roman"/>
          <w:szCs w:val="24"/>
        </w:rPr>
        <w:t xml:space="preserve"> Europejskiego Funduszu Morskiego, Rybackiego </w:t>
      </w:r>
      <w:r w:rsidR="00502DDB" w:rsidRPr="00117FC4">
        <w:rPr>
          <w:rFonts w:eastAsia="Calibri" w:cs="Times New Roman"/>
          <w:szCs w:val="24"/>
        </w:rPr>
        <w:br/>
      </w:r>
      <w:r w:rsidR="0090715B" w:rsidRPr="00117FC4">
        <w:rPr>
          <w:rFonts w:eastAsia="Calibri" w:cs="Times New Roman"/>
          <w:szCs w:val="24"/>
        </w:rPr>
        <w:t xml:space="preserve">i Akwakultury </w:t>
      </w:r>
      <w:r w:rsidR="00EC7454" w:rsidRPr="00117FC4">
        <w:rPr>
          <w:rFonts w:eastAsia="Calibri" w:cs="Times New Roman"/>
          <w:szCs w:val="24"/>
        </w:rPr>
        <w:t>do</w:t>
      </w:r>
      <w:r w:rsidR="0090715B" w:rsidRPr="00117FC4">
        <w:rPr>
          <w:rFonts w:eastAsia="Calibri" w:cs="Times New Roman"/>
          <w:szCs w:val="24"/>
        </w:rPr>
        <w:t xml:space="preserve"> tworzeni</w:t>
      </w:r>
      <w:r w:rsidR="00EC7454" w:rsidRPr="00117FC4">
        <w:rPr>
          <w:rFonts w:eastAsia="Calibri" w:cs="Times New Roman"/>
          <w:szCs w:val="24"/>
        </w:rPr>
        <w:t>a i wdrażania</w:t>
      </w:r>
      <w:r w:rsidR="0090715B" w:rsidRPr="00117FC4">
        <w:rPr>
          <w:rFonts w:eastAsia="Calibri" w:cs="Times New Roman"/>
          <w:szCs w:val="24"/>
        </w:rPr>
        <w:t xml:space="preserve"> strategii wielofunduszowych na nowy okres programowania) wyłącza </w:t>
      </w:r>
      <w:r w:rsidR="00EC7454" w:rsidRPr="00117FC4">
        <w:rPr>
          <w:rFonts w:eastAsia="Calibri" w:cs="Times New Roman"/>
          <w:szCs w:val="24"/>
        </w:rPr>
        <w:t xml:space="preserve">dotychczasowe </w:t>
      </w:r>
      <w:r w:rsidR="0090715B" w:rsidRPr="00117FC4">
        <w:rPr>
          <w:rFonts w:eastAsia="Calibri" w:cs="Times New Roman"/>
          <w:szCs w:val="24"/>
        </w:rPr>
        <w:t>obowiązki ministra właściwego ds. rybołówstwa z</w:t>
      </w:r>
      <w:r w:rsidR="00836B10">
        <w:rPr>
          <w:rFonts w:eastAsia="Calibri" w:cs="Times New Roman"/>
          <w:szCs w:val="24"/>
        </w:rPr>
        <w:t> </w:t>
      </w:r>
      <w:r w:rsidR="0090715B" w:rsidRPr="00117FC4">
        <w:rPr>
          <w:rFonts w:eastAsia="Calibri" w:cs="Times New Roman"/>
          <w:szCs w:val="24"/>
        </w:rPr>
        <w:t xml:space="preserve"> procesu wyboru LSR. </w:t>
      </w:r>
      <w:r w:rsidR="00EC7454" w:rsidRPr="00117FC4">
        <w:rPr>
          <w:rFonts w:eastAsia="Calibri" w:cs="Times New Roman"/>
          <w:szCs w:val="24"/>
        </w:rPr>
        <w:t xml:space="preserve">Biorąc pod uwagę, że projektowane w ustawie </w:t>
      </w:r>
      <w:r w:rsidR="0090715B" w:rsidRPr="00117FC4">
        <w:rPr>
          <w:rFonts w:eastAsia="Calibri" w:cs="Times New Roman"/>
          <w:szCs w:val="24"/>
        </w:rPr>
        <w:t>rozwiązani</w:t>
      </w:r>
      <w:r w:rsidR="00EC7454" w:rsidRPr="00117FC4">
        <w:rPr>
          <w:rFonts w:eastAsia="Calibri" w:cs="Times New Roman"/>
          <w:szCs w:val="24"/>
        </w:rPr>
        <w:t xml:space="preserve">a dotyczą także przepisów w oparciu o które wdrażane są strategie wybrane w ramach konkursu w roku </w:t>
      </w:r>
      <w:r w:rsidR="00EC7454" w:rsidRPr="00117FC4">
        <w:rPr>
          <w:rFonts w:eastAsia="Calibri" w:cs="Times New Roman"/>
          <w:szCs w:val="24"/>
        </w:rPr>
        <w:lastRenderedPageBreak/>
        <w:t>2016, a więc także z zaangażowaniem środków Europejskiego Funduszu Morskiego i</w:t>
      </w:r>
      <w:r w:rsidR="00836B10">
        <w:rPr>
          <w:rFonts w:eastAsia="Calibri" w:cs="Times New Roman"/>
          <w:szCs w:val="24"/>
        </w:rPr>
        <w:t> </w:t>
      </w:r>
      <w:r w:rsidR="00EC7454" w:rsidRPr="00117FC4">
        <w:rPr>
          <w:rFonts w:eastAsia="Calibri" w:cs="Times New Roman"/>
          <w:szCs w:val="24"/>
        </w:rPr>
        <w:t xml:space="preserve"> Rybackiego (na lata 2014</w:t>
      </w:r>
      <w:r w:rsidR="00502DDB" w:rsidRPr="00117FC4">
        <w:rPr>
          <w:rFonts w:eastAsia="Calibri" w:cs="Times New Roman"/>
          <w:szCs w:val="24"/>
        </w:rPr>
        <w:t>–</w:t>
      </w:r>
      <w:r w:rsidR="00EC7454" w:rsidRPr="00117FC4">
        <w:rPr>
          <w:rFonts w:eastAsia="Calibri" w:cs="Times New Roman"/>
          <w:szCs w:val="24"/>
        </w:rPr>
        <w:t xml:space="preserve">2020), </w:t>
      </w:r>
      <w:r w:rsidR="0090715B" w:rsidRPr="00117FC4">
        <w:rPr>
          <w:rFonts w:eastAsia="Calibri" w:cs="Times New Roman"/>
          <w:szCs w:val="24"/>
        </w:rPr>
        <w:t>mogł</w:t>
      </w:r>
      <w:r w:rsidR="00EC7454" w:rsidRPr="00117FC4">
        <w:rPr>
          <w:rFonts w:eastAsia="Calibri" w:cs="Times New Roman"/>
          <w:szCs w:val="24"/>
        </w:rPr>
        <w:t>a</w:t>
      </w:r>
      <w:r w:rsidR="0090715B" w:rsidRPr="00117FC4">
        <w:rPr>
          <w:rFonts w:eastAsia="Calibri" w:cs="Times New Roman"/>
          <w:szCs w:val="24"/>
        </w:rPr>
        <w:t xml:space="preserve">by </w:t>
      </w:r>
      <w:r w:rsidR="00EC7454" w:rsidRPr="00117FC4">
        <w:rPr>
          <w:rFonts w:eastAsia="Calibri" w:cs="Times New Roman"/>
          <w:szCs w:val="24"/>
        </w:rPr>
        <w:t>zaistnieć wątpliwość co do stanu prawnego</w:t>
      </w:r>
      <w:r w:rsidR="00502DDB" w:rsidRPr="00117FC4">
        <w:rPr>
          <w:rFonts w:eastAsia="Calibri" w:cs="Times New Roman"/>
          <w:szCs w:val="24"/>
        </w:rPr>
        <w:t>,</w:t>
      </w:r>
      <w:r w:rsidR="00EC7454" w:rsidRPr="00117FC4">
        <w:rPr>
          <w:rFonts w:eastAsia="Calibri" w:cs="Times New Roman"/>
          <w:szCs w:val="24"/>
        </w:rPr>
        <w:t xml:space="preserve"> w</w:t>
      </w:r>
      <w:r w:rsidR="00836B10">
        <w:rPr>
          <w:rFonts w:eastAsia="Calibri" w:cs="Times New Roman"/>
          <w:szCs w:val="24"/>
        </w:rPr>
        <w:t> </w:t>
      </w:r>
      <w:r w:rsidR="00EC7454" w:rsidRPr="00117FC4">
        <w:rPr>
          <w:rFonts w:eastAsia="Calibri" w:cs="Times New Roman"/>
          <w:szCs w:val="24"/>
        </w:rPr>
        <w:t xml:space="preserve"> oparciu o który wdrażane są </w:t>
      </w:r>
      <w:r w:rsidR="0090715B" w:rsidRPr="00117FC4">
        <w:rPr>
          <w:rFonts w:eastAsia="Calibri" w:cs="Times New Roman"/>
          <w:szCs w:val="24"/>
        </w:rPr>
        <w:t>strategi</w:t>
      </w:r>
      <w:r w:rsidR="00EC7454" w:rsidRPr="00117FC4">
        <w:rPr>
          <w:rFonts w:eastAsia="Calibri" w:cs="Times New Roman"/>
          <w:szCs w:val="24"/>
        </w:rPr>
        <w:t>e</w:t>
      </w:r>
      <w:r w:rsidR="0090715B" w:rsidRPr="00117FC4">
        <w:rPr>
          <w:rFonts w:eastAsia="Calibri" w:cs="Times New Roman"/>
          <w:szCs w:val="24"/>
        </w:rPr>
        <w:t xml:space="preserve"> rybacki</w:t>
      </w:r>
      <w:r w:rsidR="00EC7454" w:rsidRPr="00117FC4">
        <w:rPr>
          <w:rFonts w:eastAsia="Calibri" w:cs="Times New Roman"/>
          <w:szCs w:val="24"/>
        </w:rPr>
        <w:t>e</w:t>
      </w:r>
      <w:r w:rsidR="00B82443" w:rsidRPr="00117FC4">
        <w:rPr>
          <w:rFonts w:eastAsia="Calibri" w:cs="Times New Roman"/>
          <w:szCs w:val="24"/>
        </w:rPr>
        <w:t>, istnieje konieczność jednoznacznego uregulowania tej kwestii</w:t>
      </w:r>
      <w:r w:rsidR="0090715B" w:rsidRPr="00117FC4">
        <w:rPr>
          <w:rFonts w:eastAsia="Calibri" w:cs="Times New Roman"/>
          <w:szCs w:val="24"/>
        </w:rPr>
        <w:t xml:space="preserve">. Zaproponowany </w:t>
      </w:r>
      <w:r w:rsidR="003C5FE1" w:rsidRPr="00117FC4">
        <w:rPr>
          <w:rFonts w:eastAsia="Calibri" w:cs="Times New Roman"/>
          <w:szCs w:val="24"/>
        </w:rPr>
        <w:t xml:space="preserve">w art. </w:t>
      </w:r>
      <w:r w:rsidR="000B637B">
        <w:rPr>
          <w:rFonts w:eastAsia="Calibri" w:cs="Times New Roman"/>
          <w:szCs w:val="24"/>
        </w:rPr>
        <w:t>9</w:t>
      </w:r>
      <w:r w:rsidR="006522EF" w:rsidRPr="00117FC4">
        <w:rPr>
          <w:rFonts w:eastAsia="Calibri" w:cs="Times New Roman"/>
          <w:szCs w:val="24"/>
        </w:rPr>
        <w:t xml:space="preserve"> </w:t>
      </w:r>
      <w:r w:rsidR="003C5FE1" w:rsidRPr="00117FC4">
        <w:rPr>
          <w:rFonts w:eastAsia="Calibri" w:cs="Times New Roman"/>
          <w:szCs w:val="24"/>
        </w:rPr>
        <w:t xml:space="preserve">projektowanej ustawy </w:t>
      </w:r>
      <w:r w:rsidR="0090715B" w:rsidRPr="00117FC4">
        <w:rPr>
          <w:rFonts w:eastAsia="Calibri" w:cs="Times New Roman"/>
          <w:szCs w:val="24"/>
        </w:rPr>
        <w:t>przepis przejściowy jest zatem odpowiedzią na potrzebę wynikającą z konieczności zapewnienia obowiązywania przepisów ustawy w stosunku do LSR finansowanych z  Europejskiego Funduszu Morskiego i</w:t>
      </w:r>
      <w:r w:rsidR="00836B10">
        <w:rPr>
          <w:rFonts w:eastAsia="Calibri" w:cs="Times New Roman"/>
          <w:szCs w:val="24"/>
        </w:rPr>
        <w:t> </w:t>
      </w:r>
      <w:r w:rsidR="0090715B" w:rsidRPr="00117FC4">
        <w:rPr>
          <w:rFonts w:eastAsia="Calibri" w:cs="Times New Roman"/>
          <w:szCs w:val="24"/>
        </w:rPr>
        <w:t xml:space="preserve"> Rybackiego.</w:t>
      </w:r>
    </w:p>
    <w:p w14:paraId="18373BB0" w14:textId="3EAE4711" w:rsidR="00E77CD6" w:rsidRDefault="00E77CD6" w:rsidP="00E84DA8">
      <w:pPr>
        <w:widowControl/>
        <w:autoSpaceDE/>
        <w:autoSpaceDN/>
        <w:adjustRightInd/>
        <w:spacing w:before="120"/>
        <w:jc w:val="both"/>
        <w:rPr>
          <w:rFonts w:eastAsia="Calibri" w:cs="Times New Roman"/>
          <w:szCs w:val="24"/>
        </w:rPr>
      </w:pPr>
      <w:r>
        <w:rPr>
          <w:rFonts w:eastAsia="Calibri" w:cs="Times New Roman"/>
          <w:szCs w:val="24"/>
        </w:rPr>
        <w:t>W art. 1</w:t>
      </w:r>
      <w:r w:rsidR="000B637B">
        <w:rPr>
          <w:rFonts w:eastAsia="Calibri" w:cs="Times New Roman"/>
          <w:szCs w:val="24"/>
        </w:rPr>
        <w:t>0</w:t>
      </w:r>
      <w:r>
        <w:rPr>
          <w:rFonts w:eastAsia="Calibri" w:cs="Times New Roman"/>
          <w:szCs w:val="24"/>
        </w:rPr>
        <w:t xml:space="preserve"> </w:t>
      </w:r>
      <w:r w:rsidR="004D7802" w:rsidRPr="00117FC4">
        <w:rPr>
          <w:rFonts w:eastAsia="Calibri" w:cs="Times New Roman"/>
          <w:szCs w:val="24"/>
        </w:rPr>
        <w:t>projektowanej ustawy</w:t>
      </w:r>
      <w:r w:rsidR="00866DCF" w:rsidRPr="00866DCF">
        <w:rPr>
          <w:rFonts w:eastAsia="Calibri" w:cs="Times New Roman"/>
          <w:szCs w:val="24"/>
        </w:rPr>
        <w:t xml:space="preserve"> </w:t>
      </w:r>
      <w:r w:rsidR="00866DCF" w:rsidRPr="00117FC4">
        <w:rPr>
          <w:rFonts w:eastAsia="Calibri" w:cs="Times New Roman"/>
          <w:szCs w:val="24"/>
        </w:rPr>
        <w:t xml:space="preserve">zaproponowano przepis przejściowy </w:t>
      </w:r>
      <w:r w:rsidR="00866DCF">
        <w:rPr>
          <w:rFonts w:eastAsia="Calibri" w:cs="Times New Roman"/>
          <w:szCs w:val="24"/>
        </w:rPr>
        <w:t xml:space="preserve">mający na celu wyeliminowanie wątpliwości </w:t>
      </w:r>
      <w:r w:rsidR="00866DCF" w:rsidRPr="00117FC4">
        <w:rPr>
          <w:rFonts w:eastAsia="Calibri" w:cs="Times New Roman"/>
          <w:szCs w:val="24"/>
        </w:rPr>
        <w:t>dotyczący</w:t>
      </w:r>
      <w:r w:rsidR="00866DCF">
        <w:rPr>
          <w:rFonts w:eastAsia="Calibri" w:cs="Times New Roman"/>
          <w:szCs w:val="24"/>
        </w:rPr>
        <w:t xml:space="preserve">ch </w:t>
      </w:r>
      <w:r w:rsidR="00AA0904">
        <w:rPr>
          <w:rFonts w:eastAsia="Calibri" w:cs="Times New Roman"/>
          <w:szCs w:val="24"/>
        </w:rPr>
        <w:t>funkcjonowania komisji, które dokonały wyboru LSR na lata 2014</w:t>
      </w:r>
      <w:r w:rsidR="006E37E5">
        <w:rPr>
          <w:rFonts w:eastAsia="Calibri" w:cs="Times New Roman"/>
          <w:szCs w:val="24"/>
        </w:rPr>
        <w:t>–</w:t>
      </w:r>
      <w:r w:rsidR="00AA0904">
        <w:rPr>
          <w:rFonts w:eastAsia="Calibri" w:cs="Times New Roman"/>
          <w:szCs w:val="24"/>
        </w:rPr>
        <w:t>2020,</w:t>
      </w:r>
      <w:r w:rsidR="00866DCF" w:rsidRPr="00D41084">
        <w:rPr>
          <w:rFonts w:eastAsia="Times New Roman"/>
          <w:szCs w:val="24"/>
        </w:rPr>
        <w:t xml:space="preserve"> n</w:t>
      </w:r>
      <w:r w:rsidR="00AA0904">
        <w:rPr>
          <w:rFonts w:eastAsia="Times New Roman"/>
          <w:szCs w:val="24"/>
        </w:rPr>
        <w:t xml:space="preserve">a mocy rozporządzenia 1303/2013, ale do dnia dzisiejszego nie zostały </w:t>
      </w:r>
      <w:r w:rsidR="00945D93">
        <w:rPr>
          <w:rFonts w:eastAsia="Times New Roman"/>
          <w:szCs w:val="24"/>
        </w:rPr>
        <w:t xml:space="preserve">jeszcze </w:t>
      </w:r>
      <w:r w:rsidR="00866DCF" w:rsidRPr="00D41084">
        <w:rPr>
          <w:rFonts w:eastAsia="Times New Roman"/>
          <w:szCs w:val="24"/>
        </w:rPr>
        <w:t>rozwiązane</w:t>
      </w:r>
      <w:r w:rsidR="00AA0904">
        <w:rPr>
          <w:rFonts w:eastAsia="Times New Roman"/>
          <w:szCs w:val="24"/>
        </w:rPr>
        <w:t>.</w:t>
      </w:r>
    </w:p>
    <w:p w14:paraId="19F97FA5" w14:textId="3EE93B6E" w:rsidR="004644C1" w:rsidRPr="00117FC4" w:rsidRDefault="004644C1" w:rsidP="00E84DA8">
      <w:pPr>
        <w:widowControl/>
        <w:autoSpaceDE/>
        <w:autoSpaceDN/>
        <w:adjustRightInd/>
        <w:spacing w:before="120"/>
        <w:jc w:val="both"/>
        <w:rPr>
          <w:rFonts w:eastAsia="Calibri" w:cs="Times New Roman"/>
          <w:szCs w:val="24"/>
        </w:rPr>
      </w:pPr>
      <w:r w:rsidRPr="00117FC4">
        <w:rPr>
          <w:rFonts w:eastAsia="Calibri" w:cs="Times New Roman"/>
          <w:szCs w:val="24"/>
        </w:rPr>
        <w:t>W art.</w:t>
      </w:r>
      <w:r w:rsidR="00274300">
        <w:rPr>
          <w:rFonts w:eastAsia="Calibri" w:cs="Times New Roman"/>
          <w:szCs w:val="24"/>
        </w:rPr>
        <w:t xml:space="preserve"> </w:t>
      </w:r>
      <w:r w:rsidR="0063527B">
        <w:rPr>
          <w:rFonts w:eastAsia="Calibri" w:cs="Times New Roman"/>
          <w:szCs w:val="24"/>
        </w:rPr>
        <w:t>1</w:t>
      </w:r>
      <w:r w:rsidR="000B637B">
        <w:rPr>
          <w:rFonts w:eastAsia="Calibri" w:cs="Times New Roman"/>
          <w:szCs w:val="24"/>
        </w:rPr>
        <w:t>1</w:t>
      </w:r>
      <w:r w:rsidRPr="00117FC4">
        <w:rPr>
          <w:rFonts w:eastAsia="Calibri" w:cs="Times New Roman"/>
          <w:szCs w:val="24"/>
        </w:rPr>
        <w:t xml:space="preserve"> projektowanej ustawy zaproponowano przepis przejściowy dotyczący zmian w</w:t>
      </w:r>
      <w:r w:rsidR="00836B10">
        <w:rPr>
          <w:rFonts w:eastAsia="Calibri" w:cs="Times New Roman"/>
          <w:szCs w:val="24"/>
        </w:rPr>
        <w:t> </w:t>
      </w:r>
      <w:r w:rsidRPr="00117FC4">
        <w:rPr>
          <w:rFonts w:eastAsia="Calibri" w:cs="Times New Roman"/>
          <w:szCs w:val="24"/>
        </w:rPr>
        <w:t xml:space="preserve"> ustawie o PROW 2014</w:t>
      </w:r>
      <w:r w:rsidRPr="00117FC4">
        <w:rPr>
          <w:rFonts w:eastAsia="Calibri" w:cs="Times New Roman"/>
          <w:szCs w:val="24"/>
        </w:rPr>
        <w:sym w:font="Symbol" w:char="F02D"/>
      </w:r>
      <w:r w:rsidRPr="00117FC4">
        <w:rPr>
          <w:rFonts w:eastAsia="Calibri" w:cs="Times New Roman"/>
          <w:szCs w:val="24"/>
        </w:rPr>
        <w:t>2020 w zakresie dotyczącym konkursu dla partnerów KSOW. P</w:t>
      </w:r>
      <w:r w:rsidRPr="00117FC4">
        <w:rPr>
          <w:rFonts w:eastAsia="Times New Roman" w:cs="Times New Roman"/>
          <w:bCs/>
          <w:szCs w:val="24"/>
        </w:rPr>
        <w:t>roponuje się, żeby d</w:t>
      </w:r>
      <w:r w:rsidRPr="00117FC4">
        <w:rPr>
          <w:rFonts w:eastAsia="Calibri" w:cs="Times New Roman"/>
          <w:szCs w:val="24"/>
        </w:rPr>
        <w:t>o postępowań w sprawach dotyczących wyboru operacji partnerów KSOW wszczętych i niezakończonych przed dniem wejścia w życie niniejszej ustawy oraz do umów na realizację tych operacji, niezawartych przed dniem wejścia w życie niniejszej ustawy, stosować dotychczasowe przepisy. Jest to podyktowane tym, że w styczniu 2021 r. zakończył się nabór wniosków o wybór operacji partnerów KSOW, złożonych w</w:t>
      </w:r>
      <w:r w:rsidR="00836B10">
        <w:rPr>
          <w:rFonts w:eastAsia="Calibri" w:cs="Times New Roman"/>
          <w:szCs w:val="24"/>
        </w:rPr>
        <w:t> </w:t>
      </w:r>
      <w:r w:rsidRPr="00117FC4">
        <w:rPr>
          <w:rFonts w:eastAsia="Calibri" w:cs="Times New Roman"/>
          <w:szCs w:val="24"/>
        </w:rPr>
        <w:t xml:space="preserve"> konkursie nr 5/2021, które będą realizowane w 2021 r. Złożenie wniosku wszczyna postępowanie w sprawie wyboru operacji, które kończy się ogłoszeniem listy ocenionych operacji. Po ogłoszeniu listy następuje proces zawierania umów na realizację operacji, który powinien zakończyć się w ciągu 21 dni od dnia otrzymania projektu umowy do podpisu przez partnera KSOW. Postępowanie w</w:t>
      </w:r>
      <w:r w:rsidR="004D7802">
        <w:rPr>
          <w:rFonts w:eastAsia="Calibri" w:cs="Times New Roman"/>
          <w:szCs w:val="24"/>
        </w:rPr>
        <w:t> </w:t>
      </w:r>
      <w:r w:rsidRPr="00117FC4">
        <w:rPr>
          <w:rFonts w:eastAsia="Calibri" w:cs="Times New Roman"/>
          <w:szCs w:val="24"/>
        </w:rPr>
        <w:t xml:space="preserve"> sprawie wyboru operacji partnera KSOW, zgodnie z</w:t>
      </w:r>
      <w:r w:rsidR="00836B10">
        <w:rPr>
          <w:rFonts w:eastAsia="Calibri" w:cs="Times New Roman"/>
          <w:szCs w:val="24"/>
        </w:rPr>
        <w:t> </w:t>
      </w:r>
      <w:r w:rsidRPr="00117FC4">
        <w:rPr>
          <w:rFonts w:eastAsia="Calibri" w:cs="Times New Roman"/>
          <w:szCs w:val="24"/>
        </w:rPr>
        <w:t xml:space="preserve"> regulaminem konkursu, powinno zakończyć się w ciągu 75 dni licząc od dnia następującego po dniu zakończenia naboru, ale</w:t>
      </w:r>
      <w:r w:rsidR="000B637B">
        <w:rPr>
          <w:rFonts w:eastAsia="Calibri" w:cs="Times New Roman"/>
          <w:szCs w:val="24"/>
        </w:rPr>
        <w:t> </w:t>
      </w:r>
      <w:r w:rsidRPr="00117FC4">
        <w:rPr>
          <w:rFonts w:eastAsia="Calibri" w:cs="Times New Roman"/>
          <w:szCs w:val="24"/>
        </w:rPr>
        <w:t xml:space="preserve"> z</w:t>
      </w:r>
      <w:r w:rsidR="000B637B">
        <w:rPr>
          <w:rFonts w:eastAsia="Calibri" w:cs="Times New Roman"/>
          <w:szCs w:val="24"/>
        </w:rPr>
        <w:t> </w:t>
      </w:r>
      <w:r w:rsidRPr="00117FC4">
        <w:rPr>
          <w:rFonts w:eastAsia="Calibri" w:cs="Times New Roman"/>
          <w:szCs w:val="24"/>
        </w:rPr>
        <w:t xml:space="preserve"> uwagi na częste przypadki wzywania do uzupełnienia braków we wniosku, przedłuża się. W</w:t>
      </w:r>
      <w:r w:rsidR="000B637B">
        <w:rPr>
          <w:rFonts w:eastAsia="Calibri" w:cs="Times New Roman"/>
          <w:szCs w:val="24"/>
        </w:rPr>
        <w:t> </w:t>
      </w:r>
      <w:r w:rsidRPr="00117FC4">
        <w:rPr>
          <w:rFonts w:eastAsia="Calibri" w:cs="Times New Roman"/>
          <w:szCs w:val="24"/>
        </w:rPr>
        <w:t xml:space="preserve"> związku z tym, że ocena operacji jest w toku, a jeżeli zakończy się przed wejściem w</w:t>
      </w:r>
      <w:r w:rsidR="000B637B">
        <w:rPr>
          <w:rFonts w:eastAsia="Calibri" w:cs="Times New Roman"/>
          <w:szCs w:val="24"/>
        </w:rPr>
        <w:t> </w:t>
      </w:r>
      <w:r w:rsidRPr="00117FC4">
        <w:rPr>
          <w:rFonts w:eastAsia="Calibri" w:cs="Times New Roman"/>
          <w:szCs w:val="24"/>
        </w:rPr>
        <w:t xml:space="preserve"> życie projektowanej ustawy, w toku będzie zawieranie umów na</w:t>
      </w:r>
      <w:r w:rsidR="00836B10">
        <w:rPr>
          <w:rFonts w:eastAsia="Calibri" w:cs="Times New Roman"/>
          <w:szCs w:val="24"/>
        </w:rPr>
        <w:t> </w:t>
      </w:r>
      <w:r w:rsidRPr="00117FC4">
        <w:rPr>
          <w:rFonts w:eastAsia="Calibri" w:cs="Times New Roman"/>
          <w:szCs w:val="24"/>
        </w:rPr>
        <w:t xml:space="preserve"> realizację operacji, nie należy zmieniać trybu ich wyboru i stosować przepisy dotychczasowe do trwających postępowań. Podobnie w przypadku umów na realizację operacji, które nie zostały zawarte przed dniem wejścia w życie projektowanej ustawy, a które dotyczą operacji, które będą realizowane w 2021 r. Dokumentacja konkursowa, w tym formularz umowy na realizację operacji, została udostępniona na początku grudnia 2020 r. Partnerzy KSOW uczestniczyli w</w:t>
      </w:r>
      <w:r w:rsidR="000B637B">
        <w:rPr>
          <w:rFonts w:eastAsia="Calibri" w:cs="Times New Roman"/>
          <w:szCs w:val="24"/>
        </w:rPr>
        <w:t> </w:t>
      </w:r>
      <w:r w:rsidRPr="00117FC4">
        <w:rPr>
          <w:rFonts w:eastAsia="Calibri" w:cs="Times New Roman"/>
          <w:szCs w:val="24"/>
        </w:rPr>
        <w:t xml:space="preserve"> szkoleniach dotyczących składania wniosków, realizacji i</w:t>
      </w:r>
      <w:r w:rsidR="00836B10">
        <w:rPr>
          <w:rFonts w:eastAsia="Calibri" w:cs="Times New Roman"/>
          <w:szCs w:val="24"/>
        </w:rPr>
        <w:t> </w:t>
      </w:r>
      <w:r w:rsidRPr="00117FC4">
        <w:rPr>
          <w:rFonts w:eastAsia="Calibri" w:cs="Times New Roman"/>
          <w:szCs w:val="24"/>
        </w:rPr>
        <w:t xml:space="preserve"> rozliczania operacji. Mając to na </w:t>
      </w:r>
      <w:r w:rsidRPr="00117FC4">
        <w:rPr>
          <w:rFonts w:eastAsia="Calibri" w:cs="Times New Roman"/>
          <w:szCs w:val="24"/>
        </w:rPr>
        <w:lastRenderedPageBreak/>
        <w:t>uwadze, nie należy do tych umów stosować przepisów zmienionych projektowaną ustawą w</w:t>
      </w:r>
      <w:r w:rsidR="000B637B">
        <w:rPr>
          <w:rFonts w:eastAsia="Calibri" w:cs="Times New Roman"/>
          <w:szCs w:val="24"/>
        </w:rPr>
        <w:t> </w:t>
      </w:r>
      <w:r w:rsidRPr="00117FC4">
        <w:rPr>
          <w:rFonts w:eastAsia="Calibri" w:cs="Times New Roman"/>
          <w:szCs w:val="24"/>
        </w:rPr>
        <w:t xml:space="preserve"> tym zakresie, lecz wyłącznie przepisy dotychczasowe.</w:t>
      </w:r>
    </w:p>
    <w:p w14:paraId="13A292F8" w14:textId="6A537BD0" w:rsidR="004644C1" w:rsidRPr="00117FC4" w:rsidRDefault="004644C1" w:rsidP="00E84DA8">
      <w:pPr>
        <w:widowControl/>
        <w:autoSpaceDE/>
        <w:autoSpaceDN/>
        <w:adjustRightInd/>
        <w:spacing w:before="120"/>
        <w:jc w:val="both"/>
        <w:rPr>
          <w:rFonts w:eastAsia="Calibri" w:cs="Times New Roman"/>
          <w:szCs w:val="24"/>
        </w:rPr>
      </w:pPr>
      <w:r w:rsidRPr="00117FC4">
        <w:rPr>
          <w:rFonts w:eastAsia="Calibri" w:cs="Times New Roman"/>
          <w:szCs w:val="24"/>
        </w:rPr>
        <w:t xml:space="preserve">W art. </w:t>
      </w:r>
      <w:r w:rsidR="006E7044" w:rsidRPr="00117FC4">
        <w:rPr>
          <w:rFonts w:eastAsia="Calibri" w:cs="Times New Roman"/>
          <w:szCs w:val="24"/>
        </w:rPr>
        <w:t>1</w:t>
      </w:r>
      <w:r w:rsidR="000B637B">
        <w:rPr>
          <w:rFonts w:eastAsia="Calibri" w:cs="Times New Roman"/>
          <w:szCs w:val="24"/>
        </w:rPr>
        <w:t>2</w:t>
      </w:r>
      <w:r w:rsidRPr="00117FC4">
        <w:rPr>
          <w:rFonts w:eastAsia="Calibri" w:cs="Times New Roman"/>
          <w:szCs w:val="24"/>
        </w:rPr>
        <w:t xml:space="preserve"> projektowanej ustawy zaproponowano przepis przejściowy </w:t>
      </w:r>
      <w:r w:rsidR="001A4E79">
        <w:rPr>
          <w:rFonts w:eastAsia="Calibri" w:cs="Times New Roman"/>
          <w:szCs w:val="24"/>
        </w:rPr>
        <w:t>związany ze</w:t>
      </w:r>
      <w:r w:rsidR="001A4E79" w:rsidRPr="00117FC4">
        <w:rPr>
          <w:rFonts w:eastAsia="Calibri" w:cs="Times New Roman"/>
          <w:szCs w:val="24"/>
        </w:rPr>
        <w:t xml:space="preserve"> </w:t>
      </w:r>
      <w:r w:rsidRPr="00117FC4">
        <w:rPr>
          <w:rFonts w:eastAsia="Calibri" w:cs="Times New Roman"/>
          <w:szCs w:val="24"/>
        </w:rPr>
        <w:t>zmian</w:t>
      </w:r>
      <w:r w:rsidR="001A4E79">
        <w:rPr>
          <w:rFonts w:eastAsia="Calibri" w:cs="Times New Roman"/>
          <w:szCs w:val="24"/>
        </w:rPr>
        <w:t>ą</w:t>
      </w:r>
      <w:r w:rsidRPr="00117FC4">
        <w:rPr>
          <w:rFonts w:eastAsia="Calibri" w:cs="Times New Roman"/>
          <w:szCs w:val="24"/>
        </w:rPr>
        <w:t xml:space="preserve"> w</w:t>
      </w:r>
      <w:r w:rsidR="00836B10">
        <w:rPr>
          <w:rFonts w:eastAsia="Calibri" w:cs="Times New Roman"/>
          <w:szCs w:val="24"/>
        </w:rPr>
        <w:t> </w:t>
      </w:r>
      <w:r w:rsidRPr="00117FC4">
        <w:rPr>
          <w:rFonts w:eastAsia="Calibri" w:cs="Times New Roman"/>
          <w:szCs w:val="24"/>
        </w:rPr>
        <w:t xml:space="preserve"> </w:t>
      </w:r>
      <w:r w:rsidRPr="00117FC4">
        <w:rPr>
          <w:rFonts w:eastAsia="Times New Roman" w:cs="Times New Roman"/>
          <w:szCs w:val="24"/>
        </w:rPr>
        <w:t>ustawie o finansowaniu wspólnej polityki rolnej w zakresie dotyczącym</w:t>
      </w:r>
      <w:r w:rsidR="001A4E79">
        <w:rPr>
          <w:rFonts w:eastAsia="Times New Roman" w:cs="Times New Roman"/>
          <w:szCs w:val="24"/>
        </w:rPr>
        <w:t xml:space="preserve"> nałożenia na</w:t>
      </w:r>
      <w:r w:rsidR="00836B10">
        <w:rPr>
          <w:rFonts w:eastAsia="Times New Roman" w:cs="Times New Roman"/>
          <w:szCs w:val="24"/>
        </w:rPr>
        <w:t> </w:t>
      </w:r>
      <w:r w:rsidR="001A4E79">
        <w:rPr>
          <w:rFonts w:eastAsia="Times New Roman" w:cs="Times New Roman"/>
          <w:szCs w:val="24"/>
        </w:rPr>
        <w:t xml:space="preserve"> </w:t>
      </w:r>
      <w:r w:rsidR="001A4E79">
        <w:rPr>
          <w:rFonts w:eastAsia="Times New Roman" w:cs="Times New Roman"/>
          <w:bCs/>
          <w:szCs w:val="24"/>
        </w:rPr>
        <w:t>Agencję</w:t>
      </w:r>
      <w:r w:rsidR="001A4E79" w:rsidRPr="00713975">
        <w:rPr>
          <w:rFonts w:eastAsia="Times New Roman" w:cs="Times New Roman"/>
          <w:bCs/>
          <w:szCs w:val="24"/>
        </w:rPr>
        <w:t xml:space="preserve"> Restrukturyzacji i Modernizacji Rolnictwa, </w:t>
      </w:r>
      <w:r w:rsidR="001A4E79">
        <w:rPr>
          <w:rFonts w:eastAsia="Times New Roman" w:cs="Times New Roman"/>
          <w:bCs/>
          <w:szCs w:val="24"/>
        </w:rPr>
        <w:t>Krajowy Ośrodek</w:t>
      </w:r>
      <w:r w:rsidR="001A4E79" w:rsidRPr="00713975">
        <w:rPr>
          <w:rFonts w:eastAsia="Times New Roman" w:cs="Times New Roman"/>
          <w:bCs/>
          <w:szCs w:val="24"/>
        </w:rPr>
        <w:t xml:space="preserve"> Wsparcia Rolnictwa oraz jednost</w:t>
      </w:r>
      <w:r w:rsidR="001A4E79">
        <w:rPr>
          <w:rFonts w:eastAsia="Times New Roman" w:cs="Times New Roman"/>
          <w:bCs/>
          <w:szCs w:val="24"/>
        </w:rPr>
        <w:t>ki</w:t>
      </w:r>
      <w:r w:rsidR="001A4E79" w:rsidRPr="00713975">
        <w:rPr>
          <w:rFonts w:eastAsia="Times New Roman" w:cs="Times New Roman"/>
          <w:bCs/>
          <w:szCs w:val="24"/>
        </w:rPr>
        <w:t xml:space="preserve"> doradztwa rolniczego</w:t>
      </w:r>
      <w:r w:rsidR="001A4E79">
        <w:rPr>
          <w:rFonts w:eastAsia="Times New Roman" w:cs="Times New Roman"/>
          <w:bCs/>
          <w:szCs w:val="24"/>
        </w:rPr>
        <w:t xml:space="preserve">, </w:t>
      </w:r>
      <w:r w:rsidR="001A4E79" w:rsidRPr="00117FC4">
        <w:rPr>
          <w:rFonts w:eastAsia="Times New Roman" w:cs="Times New Roman"/>
          <w:bCs/>
          <w:szCs w:val="24"/>
        </w:rPr>
        <w:t>będąc</w:t>
      </w:r>
      <w:r w:rsidR="001A4E79">
        <w:rPr>
          <w:rFonts w:eastAsia="Times New Roman" w:cs="Times New Roman"/>
          <w:bCs/>
          <w:szCs w:val="24"/>
        </w:rPr>
        <w:t>e</w:t>
      </w:r>
      <w:r w:rsidR="001A4E79" w:rsidRPr="00117FC4">
        <w:rPr>
          <w:rFonts w:eastAsia="Times New Roman" w:cs="Times New Roman"/>
          <w:bCs/>
          <w:szCs w:val="24"/>
        </w:rPr>
        <w:t xml:space="preserve"> beneficjent</w:t>
      </w:r>
      <w:r w:rsidR="001A4E79">
        <w:rPr>
          <w:rFonts w:eastAsia="Times New Roman" w:cs="Times New Roman"/>
          <w:bCs/>
          <w:szCs w:val="24"/>
        </w:rPr>
        <w:t>ami</w:t>
      </w:r>
      <w:r w:rsidR="001A4E79" w:rsidRPr="00117FC4">
        <w:rPr>
          <w:rFonts w:eastAsia="Times New Roman" w:cs="Times New Roman"/>
          <w:bCs/>
          <w:szCs w:val="24"/>
        </w:rPr>
        <w:t xml:space="preserve"> pomocy technicznej PROW 2014</w:t>
      </w:r>
      <w:r w:rsidR="001A4E79" w:rsidRPr="00117FC4">
        <w:rPr>
          <w:rFonts w:eastAsia="Calibri" w:cs="Times New Roman"/>
          <w:szCs w:val="24"/>
        </w:rPr>
        <w:sym w:font="Symbol" w:char="F02D"/>
      </w:r>
      <w:r w:rsidR="001A4E79" w:rsidRPr="00117FC4">
        <w:rPr>
          <w:rFonts w:eastAsia="Times New Roman" w:cs="Times New Roman"/>
          <w:bCs/>
          <w:szCs w:val="24"/>
        </w:rPr>
        <w:t>2020</w:t>
      </w:r>
      <w:r w:rsidR="001A4E79">
        <w:rPr>
          <w:rFonts w:eastAsia="Times New Roman" w:cs="Times New Roman"/>
          <w:bCs/>
          <w:szCs w:val="24"/>
        </w:rPr>
        <w:t xml:space="preserve">, </w:t>
      </w:r>
      <w:r w:rsidR="001A4E79">
        <w:rPr>
          <w:rFonts w:eastAsia="Times New Roman" w:cs="Times New Roman"/>
          <w:szCs w:val="24"/>
        </w:rPr>
        <w:t>obowiązku</w:t>
      </w:r>
      <w:r w:rsidRPr="00117FC4">
        <w:rPr>
          <w:rFonts w:eastAsia="Times New Roman" w:cs="Times New Roman"/>
          <w:szCs w:val="24"/>
        </w:rPr>
        <w:t xml:space="preserve"> </w:t>
      </w:r>
      <w:r w:rsidRPr="00117FC4">
        <w:rPr>
          <w:rFonts w:eastAsia="Times New Roman" w:cs="Times New Roman"/>
          <w:bCs/>
          <w:szCs w:val="24"/>
        </w:rPr>
        <w:t>zwrotu niezrefundowanych</w:t>
      </w:r>
      <w:r w:rsidR="001A4E79">
        <w:rPr>
          <w:rFonts w:eastAsia="Times New Roman" w:cs="Times New Roman"/>
          <w:bCs/>
          <w:szCs w:val="24"/>
        </w:rPr>
        <w:t xml:space="preserve"> im</w:t>
      </w:r>
      <w:r w:rsidRPr="00117FC4">
        <w:rPr>
          <w:rFonts w:eastAsia="Times New Roman" w:cs="Times New Roman"/>
          <w:bCs/>
          <w:szCs w:val="24"/>
        </w:rPr>
        <w:t xml:space="preserve"> środków przez</w:t>
      </w:r>
      <w:r w:rsidR="001A4E79">
        <w:rPr>
          <w:rFonts w:eastAsia="Times New Roman" w:cs="Times New Roman"/>
          <w:bCs/>
          <w:szCs w:val="24"/>
        </w:rPr>
        <w:t xml:space="preserve"> agencję płatniczą,</w:t>
      </w:r>
      <w:r w:rsidRPr="00117FC4">
        <w:rPr>
          <w:rFonts w:eastAsia="Times New Roman" w:cs="Times New Roman"/>
          <w:bCs/>
          <w:szCs w:val="24"/>
        </w:rPr>
        <w:t xml:space="preserve"> </w:t>
      </w:r>
      <w:r w:rsidR="001A4E79" w:rsidRPr="001A4E79">
        <w:rPr>
          <w:rFonts w:eastAsia="Times New Roman" w:cs="Times New Roman"/>
          <w:bCs/>
          <w:szCs w:val="24"/>
        </w:rPr>
        <w:t>a</w:t>
      </w:r>
      <w:r w:rsidR="00836B10">
        <w:rPr>
          <w:rFonts w:eastAsia="Times New Roman" w:cs="Times New Roman"/>
          <w:bCs/>
          <w:szCs w:val="24"/>
        </w:rPr>
        <w:t> </w:t>
      </w:r>
      <w:r w:rsidR="001A4E79" w:rsidRPr="001A4E79">
        <w:rPr>
          <w:rFonts w:eastAsia="Times New Roman" w:cs="Times New Roman"/>
          <w:bCs/>
          <w:szCs w:val="24"/>
        </w:rPr>
        <w:t xml:space="preserve"> w</w:t>
      </w:r>
      <w:r w:rsidR="00836B10">
        <w:rPr>
          <w:rFonts w:eastAsia="Times New Roman" w:cs="Times New Roman"/>
          <w:bCs/>
          <w:szCs w:val="24"/>
        </w:rPr>
        <w:t> </w:t>
      </w:r>
      <w:r w:rsidR="001A4E79" w:rsidRPr="001A4E79">
        <w:rPr>
          <w:rFonts w:eastAsia="Times New Roman" w:cs="Times New Roman"/>
          <w:bCs/>
          <w:szCs w:val="24"/>
        </w:rPr>
        <w:t xml:space="preserve"> przypadku Agencji Restrukturyzacji i Modernizacji Rolnictwa</w:t>
      </w:r>
      <w:r w:rsidR="001A4E79">
        <w:rPr>
          <w:rFonts w:eastAsia="Times New Roman" w:cs="Times New Roman"/>
          <w:bCs/>
          <w:szCs w:val="24"/>
        </w:rPr>
        <w:t xml:space="preserve"> </w:t>
      </w:r>
      <w:r w:rsidR="001A4E79">
        <w:rPr>
          <w:rFonts w:eastAsia="Times New Roman" w:cs="Times New Roman"/>
          <w:bCs/>
          <w:szCs w:val="24"/>
        </w:rPr>
        <w:sym w:font="Symbol" w:char="F02D"/>
      </w:r>
      <w:r w:rsidR="001A4E79">
        <w:rPr>
          <w:rFonts w:eastAsia="Times New Roman" w:cs="Times New Roman"/>
          <w:bCs/>
          <w:szCs w:val="24"/>
        </w:rPr>
        <w:t xml:space="preserve"> której</w:t>
      </w:r>
      <w:r w:rsidR="001A4E79" w:rsidRPr="001A4E79">
        <w:rPr>
          <w:rFonts w:eastAsia="Times New Roman" w:cs="Times New Roman"/>
          <w:bCs/>
          <w:szCs w:val="24"/>
        </w:rPr>
        <w:t xml:space="preserve"> pomocy technicznej nie przyznał Minister Rolnictwa i Rozwoju Wsi</w:t>
      </w:r>
      <w:r w:rsidR="00713975">
        <w:rPr>
          <w:rFonts w:eastAsia="Times New Roman" w:cs="Times New Roman"/>
          <w:bCs/>
          <w:szCs w:val="24"/>
        </w:rPr>
        <w:t>.</w:t>
      </w:r>
      <w:r w:rsidRPr="00117FC4">
        <w:rPr>
          <w:rFonts w:eastAsia="Calibri" w:cs="Times New Roman"/>
          <w:szCs w:val="24"/>
        </w:rPr>
        <w:t xml:space="preserve"> </w:t>
      </w:r>
      <w:r w:rsidR="00713975">
        <w:rPr>
          <w:rFonts w:eastAsia="Calibri" w:cs="Times New Roman"/>
          <w:szCs w:val="24"/>
        </w:rPr>
        <w:t>Z</w:t>
      </w:r>
      <w:r w:rsidRPr="00117FC4">
        <w:rPr>
          <w:rFonts w:eastAsia="Calibri" w:cs="Times New Roman"/>
          <w:szCs w:val="24"/>
        </w:rPr>
        <w:t xml:space="preserve">akłada się, że dodany w art. 23 ustawy o </w:t>
      </w:r>
      <w:r w:rsidRPr="00117FC4">
        <w:rPr>
          <w:rFonts w:eastAsia="Times New Roman" w:cs="Times New Roman"/>
          <w:szCs w:val="24"/>
        </w:rPr>
        <w:t xml:space="preserve">finansowaniu wspólnej polityki rolnej ust. 4 będzie mieć zastosowanie do </w:t>
      </w:r>
      <w:r w:rsidR="009E4B15">
        <w:rPr>
          <w:rFonts w:eastAsia="Calibri" w:cs="Times New Roman"/>
          <w:szCs w:val="24"/>
        </w:rPr>
        <w:t xml:space="preserve">tych </w:t>
      </w:r>
      <w:r w:rsidR="001A4E79">
        <w:rPr>
          <w:rFonts w:eastAsia="Calibri" w:cs="Times New Roman"/>
          <w:szCs w:val="24"/>
        </w:rPr>
        <w:t>beneficjentów</w:t>
      </w:r>
      <w:r w:rsidR="009E4B15">
        <w:rPr>
          <w:rFonts w:eastAsia="Calibri" w:cs="Times New Roman"/>
          <w:szCs w:val="24"/>
        </w:rPr>
        <w:t xml:space="preserve"> w odniesieniu do środków</w:t>
      </w:r>
      <w:r w:rsidR="009E4B15" w:rsidRPr="009E4B15">
        <w:rPr>
          <w:rFonts w:eastAsia="Calibri" w:cs="Times New Roman"/>
          <w:szCs w:val="24"/>
        </w:rPr>
        <w:t xml:space="preserve"> </w:t>
      </w:r>
      <w:r w:rsidR="009E4B15">
        <w:rPr>
          <w:rFonts w:eastAsia="Calibri" w:cs="Times New Roman"/>
          <w:szCs w:val="24"/>
        </w:rPr>
        <w:t xml:space="preserve">otrzymanych </w:t>
      </w:r>
      <w:r w:rsidR="009E4B15" w:rsidRPr="00117FC4">
        <w:rPr>
          <w:rFonts w:eastAsia="Calibri" w:cs="Times New Roman"/>
          <w:szCs w:val="24"/>
        </w:rPr>
        <w:t>z budżetu państwa na wyprzedzające finansowanie kosz</w:t>
      </w:r>
      <w:r w:rsidR="009E4B15">
        <w:rPr>
          <w:rFonts w:eastAsia="Calibri" w:cs="Times New Roman"/>
          <w:szCs w:val="24"/>
        </w:rPr>
        <w:t>tów kwalifikowalnych, poniesionych</w:t>
      </w:r>
      <w:r w:rsidR="009E4B15" w:rsidRPr="00117FC4">
        <w:rPr>
          <w:rFonts w:eastAsia="Calibri" w:cs="Times New Roman"/>
          <w:szCs w:val="24"/>
        </w:rPr>
        <w:t xml:space="preserve"> na realizację operacji w ramach pomocy</w:t>
      </w:r>
      <w:r w:rsidR="009E4B15">
        <w:rPr>
          <w:rFonts w:eastAsia="Calibri" w:cs="Times New Roman"/>
          <w:szCs w:val="24"/>
        </w:rPr>
        <w:t xml:space="preserve"> technicznej </w:t>
      </w:r>
      <w:r w:rsidR="00A77247">
        <w:rPr>
          <w:rFonts w:eastAsia="Calibri" w:cs="Times New Roman"/>
          <w:szCs w:val="24"/>
        </w:rPr>
        <w:t xml:space="preserve">również </w:t>
      </w:r>
      <w:r w:rsidRPr="00117FC4">
        <w:rPr>
          <w:rFonts w:eastAsia="Calibri" w:cs="Times New Roman"/>
          <w:szCs w:val="24"/>
        </w:rPr>
        <w:t>przed dniem wejścia w życie niniejszej ustawy. Jedyny wyjątek od zasady określonej w</w:t>
      </w:r>
      <w:r w:rsidR="00A77247">
        <w:rPr>
          <w:rFonts w:eastAsia="Calibri" w:cs="Times New Roman"/>
          <w:szCs w:val="24"/>
        </w:rPr>
        <w:t xml:space="preserve"> projektowanym</w:t>
      </w:r>
      <w:r w:rsidRPr="00117FC4">
        <w:rPr>
          <w:rFonts w:eastAsia="Calibri" w:cs="Times New Roman"/>
          <w:szCs w:val="24"/>
        </w:rPr>
        <w:t xml:space="preserve"> art. 23 ust. 4</w:t>
      </w:r>
      <w:r w:rsidR="009E4B15">
        <w:rPr>
          <w:rFonts w:eastAsia="Calibri" w:cs="Times New Roman"/>
          <w:szCs w:val="24"/>
        </w:rPr>
        <w:t xml:space="preserve"> </w:t>
      </w:r>
      <w:r w:rsidR="009E4B15" w:rsidRPr="00117FC4">
        <w:rPr>
          <w:rFonts w:eastAsia="Calibri" w:cs="Times New Roman"/>
          <w:szCs w:val="24"/>
        </w:rPr>
        <w:t xml:space="preserve">ustawy o </w:t>
      </w:r>
      <w:r w:rsidR="009E4B15" w:rsidRPr="00117FC4">
        <w:rPr>
          <w:rFonts w:eastAsia="Times New Roman" w:cs="Times New Roman"/>
          <w:szCs w:val="24"/>
        </w:rPr>
        <w:t>finansowaniu wspólnej polityki rolnej</w:t>
      </w:r>
      <w:r w:rsidRPr="00117FC4">
        <w:rPr>
          <w:rFonts w:eastAsia="Calibri" w:cs="Times New Roman"/>
          <w:szCs w:val="24"/>
        </w:rPr>
        <w:t>, to inaczej liczony termin 60 dni na dokonanie zwrotu</w:t>
      </w:r>
      <w:r w:rsidR="009F2100">
        <w:rPr>
          <w:rFonts w:eastAsia="Calibri" w:cs="Times New Roman"/>
          <w:szCs w:val="24"/>
        </w:rPr>
        <w:t xml:space="preserve"> tych</w:t>
      </w:r>
      <w:r w:rsidRPr="00117FC4">
        <w:rPr>
          <w:rFonts w:eastAsia="Calibri" w:cs="Times New Roman"/>
          <w:szCs w:val="24"/>
        </w:rPr>
        <w:t xml:space="preserve"> środków </w:t>
      </w:r>
      <w:r w:rsidRPr="00117FC4">
        <w:rPr>
          <w:rFonts w:eastAsia="Calibri" w:cs="Times New Roman"/>
          <w:szCs w:val="24"/>
        </w:rPr>
        <w:sym w:font="Symbol" w:char="F02D"/>
      </w:r>
      <w:r w:rsidRPr="00117FC4">
        <w:rPr>
          <w:rFonts w:eastAsia="Calibri" w:cs="Times New Roman"/>
          <w:szCs w:val="24"/>
        </w:rPr>
        <w:t xml:space="preserve"> nie od dnia </w:t>
      </w:r>
      <w:r w:rsidRPr="00117FC4">
        <w:rPr>
          <w:rFonts w:eastAsia="Calibri" w:cs="Times New Roman"/>
          <w:bCs/>
          <w:szCs w:val="24"/>
        </w:rPr>
        <w:t>otrzymania informacji o odmowie wypłaty środków z tytułu refundacji</w:t>
      </w:r>
      <w:r w:rsidR="009F2100" w:rsidRPr="009F2100">
        <w:rPr>
          <w:rFonts w:eastAsia="Calibri" w:cs="Times New Roman"/>
          <w:szCs w:val="24"/>
          <w:lang w:eastAsia="en-US"/>
        </w:rPr>
        <w:t xml:space="preserve"> </w:t>
      </w:r>
      <w:r w:rsidR="009F2100" w:rsidRPr="00437CF2">
        <w:rPr>
          <w:rFonts w:eastAsia="Calibri" w:cs="Times New Roman"/>
          <w:szCs w:val="24"/>
          <w:lang w:eastAsia="en-US"/>
        </w:rPr>
        <w:t>kosztów kwalifikowalnych</w:t>
      </w:r>
      <w:r w:rsidRPr="00117FC4">
        <w:rPr>
          <w:rFonts w:eastAsia="Calibri" w:cs="Times New Roman"/>
          <w:szCs w:val="24"/>
        </w:rPr>
        <w:t xml:space="preserve">, lecz od dnia wejścia w życie niniejszej ustawy. Wynika to z tego, że w wielu przypadkach ten termin już upłynął. Projektowany w art. </w:t>
      </w:r>
      <w:r w:rsidR="009F2100">
        <w:rPr>
          <w:rFonts w:eastAsia="Calibri" w:cs="Times New Roman"/>
          <w:szCs w:val="24"/>
        </w:rPr>
        <w:t>1</w:t>
      </w:r>
      <w:r w:rsidR="000B637B">
        <w:rPr>
          <w:rFonts w:eastAsia="Calibri" w:cs="Times New Roman"/>
          <w:szCs w:val="24"/>
        </w:rPr>
        <w:t>2</w:t>
      </w:r>
      <w:r w:rsidRPr="00117FC4">
        <w:rPr>
          <w:rFonts w:eastAsia="Calibri" w:cs="Times New Roman"/>
          <w:szCs w:val="24"/>
        </w:rPr>
        <w:t xml:space="preserve"> przepis przejściowy ma bowiem zastosowanie do tych beneficjentów pomocy technicznej PROW 2014</w:t>
      </w:r>
      <w:r w:rsidRPr="00117FC4">
        <w:rPr>
          <w:rFonts w:eastAsia="Calibri" w:cs="Times New Roman"/>
          <w:szCs w:val="24"/>
        </w:rPr>
        <w:sym w:font="Symbol" w:char="F02D"/>
      </w:r>
      <w:r w:rsidRPr="00117FC4">
        <w:rPr>
          <w:rFonts w:eastAsia="Calibri" w:cs="Times New Roman"/>
          <w:szCs w:val="24"/>
        </w:rPr>
        <w:t>2020, którzy od</w:t>
      </w:r>
      <w:r w:rsidR="000B637B">
        <w:rPr>
          <w:rFonts w:eastAsia="Calibri" w:cs="Times New Roman"/>
          <w:szCs w:val="24"/>
        </w:rPr>
        <w:t> </w:t>
      </w:r>
      <w:r w:rsidRPr="00117FC4">
        <w:rPr>
          <w:rFonts w:eastAsia="Calibri" w:cs="Times New Roman"/>
          <w:szCs w:val="24"/>
        </w:rPr>
        <w:t xml:space="preserve"> początku wdrażania PROW 2014</w:t>
      </w:r>
      <w:r w:rsidRPr="00117FC4">
        <w:rPr>
          <w:rFonts w:eastAsia="Calibri" w:cs="Times New Roman"/>
          <w:szCs w:val="24"/>
        </w:rPr>
        <w:sym w:font="Symbol" w:char="F02D"/>
      </w:r>
      <w:r w:rsidRPr="00117FC4">
        <w:rPr>
          <w:rFonts w:eastAsia="Calibri" w:cs="Times New Roman"/>
          <w:szCs w:val="24"/>
        </w:rPr>
        <w:t>2020, czyli od 2015 r., otrzymali środki z budżetu państwa na wyprzedzające finansowanie kosztów kwalifikowalnych ponoszonych na realizację operacji w ramach tej pomocy, z wyjątkiem samorządów województw</w:t>
      </w:r>
      <w:r w:rsidR="009F2100">
        <w:rPr>
          <w:rFonts w:eastAsia="Calibri" w:cs="Times New Roman"/>
          <w:szCs w:val="24"/>
        </w:rPr>
        <w:t>,</w:t>
      </w:r>
      <w:r w:rsidRPr="00117FC4">
        <w:rPr>
          <w:rFonts w:eastAsia="Calibri" w:cs="Times New Roman"/>
          <w:szCs w:val="24"/>
        </w:rPr>
        <w:t xml:space="preserve"> z uwagi na odrębną regulację w</w:t>
      </w:r>
      <w:r w:rsidR="00836B10">
        <w:rPr>
          <w:rFonts w:eastAsia="Calibri" w:cs="Times New Roman"/>
          <w:szCs w:val="24"/>
        </w:rPr>
        <w:t> </w:t>
      </w:r>
      <w:r w:rsidRPr="00117FC4">
        <w:rPr>
          <w:rFonts w:eastAsia="Calibri" w:cs="Times New Roman"/>
          <w:szCs w:val="24"/>
        </w:rPr>
        <w:t xml:space="preserve"> art. 11 ustawy o </w:t>
      </w:r>
      <w:r w:rsidRPr="00117FC4">
        <w:rPr>
          <w:rFonts w:eastAsia="Times New Roman" w:cs="Times New Roman"/>
          <w:szCs w:val="24"/>
        </w:rPr>
        <w:t>finansowaniu wspólnej polityki rolnej</w:t>
      </w:r>
      <w:r w:rsidR="009F2100">
        <w:rPr>
          <w:rFonts w:eastAsia="Times New Roman" w:cs="Times New Roman"/>
          <w:szCs w:val="24"/>
        </w:rPr>
        <w:t>, oraz państwowych jednostek budżetowych</w:t>
      </w:r>
      <w:r w:rsidR="009F2100" w:rsidRPr="009F2100">
        <w:rPr>
          <w:rFonts w:eastAsia="Times New Roman" w:cs="Times New Roman"/>
          <w:szCs w:val="24"/>
        </w:rPr>
        <w:t>, które wszystkie swoje środki otrzymują z wydatków budżetu państwa</w:t>
      </w:r>
      <w:r w:rsidRPr="00117FC4">
        <w:rPr>
          <w:rFonts w:eastAsia="Times New Roman" w:cs="Times New Roman"/>
          <w:szCs w:val="24"/>
        </w:rPr>
        <w:t xml:space="preserve">. Dodatkowym warunkiem zastosowania tego przepisu przejściowego do tych beneficjentów jest otrzymanie </w:t>
      </w:r>
      <w:r w:rsidRPr="00117FC4">
        <w:rPr>
          <w:rFonts w:eastAsia="Calibri" w:cs="Times New Roman"/>
          <w:bCs/>
          <w:szCs w:val="24"/>
        </w:rPr>
        <w:t>informacji o odmowie wypłaty środków z tytułu refundacji tych kosztów</w:t>
      </w:r>
      <w:r w:rsidRPr="00117FC4">
        <w:rPr>
          <w:rFonts w:eastAsia="Times New Roman" w:cs="Times New Roman"/>
          <w:szCs w:val="24"/>
        </w:rPr>
        <w:t xml:space="preserve"> i</w:t>
      </w:r>
      <w:r w:rsidR="000B637B">
        <w:rPr>
          <w:rFonts w:eastAsia="Times New Roman" w:cs="Times New Roman"/>
          <w:szCs w:val="24"/>
        </w:rPr>
        <w:t> </w:t>
      </w:r>
      <w:r w:rsidRPr="00117FC4">
        <w:rPr>
          <w:rFonts w:eastAsia="Times New Roman" w:cs="Times New Roman"/>
          <w:szCs w:val="24"/>
        </w:rPr>
        <w:t xml:space="preserve"> niezwrócenie ich do budżetu państwa.</w:t>
      </w:r>
    </w:p>
    <w:p w14:paraId="5EECE625" w14:textId="1FC1DCDD" w:rsidR="004644C1" w:rsidRPr="00117FC4" w:rsidRDefault="004644C1" w:rsidP="00ED34F3">
      <w:pPr>
        <w:spacing w:before="120"/>
        <w:jc w:val="both"/>
      </w:pPr>
      <w:r w:rsidRPr="00117FC4">
        <w:rPr>
          <w:lang w:eastAsia="en-US"/>
        </w:rPr>
        <w:t>W art. 1</w:t>
      </w:r>
      <w:r w:rsidR="000B637B">
        <w:rPr>
          <w:lang w:eastAsia="en-US"/>
        </w:rPr>
        <w:t>3</w:t>
      </w:r>
      <w:r w:rsidRPr="00117FC4">
        <w:rPr>
          <w:lang w:eastAsia="en-US"/>
        </w:rPr>
        <w:t xml:space="preserve"> projektowanej ustawy proponuje się, aby zmiana ustawy weszła w życie z dniem następującym po dniu ogłoszenia. </w:t>
      </w:r>
    </w:p>
    <w:p w14:paraId="4146002B" w14:textId="77777777" w:rsidR="004644C1" w:rsidRPr="00117FC4" w:rsidRDefault="004644C1" w:rsidP="00E84DA8">
      <w:pPr>
        <w:spacing w:before="120"/>
        <w:jc w:val="both"/>
        <w:rPr>
          <w:lang w:eastAsia="en-US"/>
        </w:rPr>
      </w:pPr>
      <w:r w:rsidRPr="00117FC4">
        <w:rPr>
          <w:lang w:eastAsia="en-US"/>
        </w:rPr>
        <w:t>Proponowany termin wejścia w życie ustawy nie narusza zasad demokratycznego państwa prawnego.</w:t>
      </w:r>
    </w:p>
    <w:p w14:paraId="35814C96" w14:textId="77777777" w:rsidR="004644C1" w:rsidRPr="00117FC4" w:rsidRDefault="004644C1" w:rsidP="00E84DA8">
      <w:pPr>
        <w:widowControl/>
        <w:suppressAutoHyphens/>
        <w:autoSpaceDE/>
        <w:autoSpaceDN/>
        <w:adjustRightInd/>
        <w:spacing w:before="120"/>
        <w:jc w:val="both"/>
        <w:rPr>
          <w:rFonts w:ascii="Times" w:eastAsia="Times New Roman" w:hAnsi="Times"/>
        </w:rPr>
      </w:pPr>
      <w:r w:rsidRPr="00117FC4">
        <w:rPr>
          <w:rFonts w:eastAsia="Times New Roman"/>
          <w:szCs w:val="24"/>
        </w:rPr>
        <w:lastRenderedPageBreak/>
        <w:t>Wprowadzenie projektowanych przepisów nie będzie miało wpływu na konkurencyjność gospodarki i przedsiębiorczość, w tym funkcjonowanie mikro-, małych i średnich przedsiębiorstw.</w:t>
      </w:r>
    </w:p>
    <w:p w14:paraId="3C63DD9A" w14:textId="77777777" w:rsidR="001A2054" w:rsidRPr="00117FC4" w:rsidRDefault="001A2054" w:rsidP="00E84DA8">
      <w:pPr>
        <w:spacing w:before="120"/>
        <w:jc w:val="both"/>
        <w:rPr>
          <w:szCs w:val="24"/>
        </w:rPr>
      </w:pPr>
      <w:r w:rsidRPr="00117FC4">
        <w:rPr>
          <w:szCs w:val="24"/>
        </w:rPr>
        <w:t>Projektowane przepisy nie zawierają rozwiązań związanych z przeciwdziałaniem negatywnym skutkom społeczno-gospodarczym COVID-19.</w:t>
      </w:r>
    </w:p>
    <w:p w14:paraId="5E391EE1" w14:textId="77777777" w:rsidR="004644C1" w:rsidRPr="00117FC4" w:rsidRDefault="004644C1" w:rsidP="00E84DA8">
      <w:pPr>
        <w:spacing w:before="120"/>
        <w:jc w:val="both"/>
      </w:pPr>
      <w:r w:rsidRPr="00117FC4">
        <w:t>Projektowane przepisy nie będą miały wpływu na sytuację ekonomiczną i społeczną rodziny, a także osób niepełnosprawnych oraz osób starszych.</w:t>
      </w:r>
    </w:p>
    <w:p w14:paraId="506297F2" w14:textId="77777777" w:rsidR="004644C1" w:rsidRPr="00117FC4" w:rsidRDefault="004644C1" w:rsidP="00E84DA8">
      <w:pPr>
        <w:spacing w:before="120"/>
      </w:pPr>
      <w:r w:rsidRPr="00117FC4">
        <w:t xml:space="preserve">Projekt jest zgodny z prawem Unii Europejskiej. </w:t>
      </w:r>
    </w:p>
    <w:p w14:paraId="716C0291" w14:textId="77777777" w:rsidR="004644C1" w:rsidRPr="00117FC4" w:rsidRDefault="004644C1" w:rsidP="00E84DA8">
      <w:pPr>
        <w:spacing w:before="120"/>
        <w:jc w:val="both"/>
      </w:pPr>
      <w:r w:rsidRPr="00117FC4">
        <w:t>Zgodnie z art. 5 ustawy z dnia 7 lipca 2005 r. o działalności lobbingowej w procesie stanowienia prawa (Dz. U. z 2017 r. poz. 248) projekt ustawy zostanie zamieszczony na stronie internetowej Biuletynu Informacji Publicznej Ministerstwa Rolnictwa i Rozwoju Wsi oraz Rządowego Centrum Legislacji.</w:t>
      </w:r>
    </w:p>
    <w:p w14:paraId="57AB64D8" w14:textId="77777777" w:rsidR="004644C1" w:rsidRPr="00117FC4" w:rsidRDefault="004644C1" w:rsidP="00E84DA8">
      <w:pPr>
        <w:spacing w:before="120"/>
        <w:jc w:val="both"/>
      </w:pPr>
      <w:r w:rsidRPr="00117FC4">
        <w:t>Projekt ustawy nie wymaga przedstawienia organom i instytucjom Unii Europejskiej, w tym Europejskiemu Bankowi Centralnemu w trybie § 27 ust. 4 uchwały nr 190 Rady Ministrów z</w:t>
      </w:r>
      <w:r w:rsidR="00836B10">
        <w:t> </w:t>
      </w:r>
      <w:r w:rsidRPr="00117FC4">
        <w:t xml:space="preserve"> dnia 29 października 2013 r. – Regulamin pracy Rady Ministrów (M. P. z 2016 r. poz. 1006, z późn. zm.).</w:t>
      </w:r>
    </w:p>
    <w:p w14:paraId="65488929" w14:textId="77777777" w:rsidR="004644C1" w:rsidRPr="0077737E" w:rsidRDefault="004644C1" w:rsidP="00E84DA8">
      <w:pPr>
        <w:widowControl/>
        <w:suppressAutoHyphens/>
        <w:autoSpaceDE/>
        <w:autoSpaceDN/>
        <w:adjustRightInd/>
        <w:spacing w:before="120"/>
        <w:jc w:val="both"/>
        <w:rPr>
          <w:rFonts w:eastAsia="Calibri" w:cs="Times New Roman"/>
          <w:szCs w:val="22"/>
          <w:lang w:eastAsia="en-US"/>
        </w:rPr>
      </w:pPr>
      <w:r w:rsidRPr="00117FC4">
        <w:rPr>
          <w:rFonts w:eastAsia="Calibri" w:cs="Times New Roman"/>
          <w:szCs w:val="22"/>
          <w:lang w:eastAsia="en-US"/>
        </w:rPr>
        <w:t xml:space="preserve">Projekt nie zawiera przepisów technicznych wymagających notyfikacji w rozumieniu rozporządzenia Rady Ministrów z dnia 23 grudnia 2002 r. w sprawie sposobu funkcjonowania krajowego systemu notyfikacji norm i aktów prawnych (Dz. U. poz. 2039, </w:t>
      </w:r>
      <w:r w:rsidRPr="00117FC4">
        <w:rPr>
          <w:rFonts w:eastAsia="Calibri" w:cs="Times New Roman"/>
          <w:szCs w:val="24"/>
          <w:lang w:eastAsia="en-US"/>
        </w:rPr>
        <w:t>z późn. zm.</w:t>
      </w:r>
      <w:r w:rsidRPr="00117FC4">
        <w:rPr>
          <w:rFonts w:eastAsia="Calibri" w:cs="Times New Roman"/>
          <w:szCs w:val="22"/>
          <w:lang w:eastAsia="en-US"/>
        </w:rPr>
        <w:t>) oraz nie podlega notyfikacji na zasadach przewidzianych w tym rozporządzeniu.</w:t>
      </w:r>
    </w:p>
    <w:p w14:paraId="2AC2C9CE" w14:textId="77777777" w:rsidR="004644C1" w:rsidRPr="0077737E" w:rsidRDefault="004644C1" w:rsidP="004644C1">
      <w:pPr>
        <w:suppressAutoHyphens/>
        <w:autoSpaceDE/>
        <w:autoSpaceDN/>
        <w:adjustRightInd/>
        <w:contextualSpacing/>
        <w:jc w:val="both"/>
        <w:rPr>
          <w:rFonts w:eastAsia="Times New Roman" w:cs="Verdana"/>
        </w:rPr>
      </w:pPr>
    </w:p>
    <w:p w14:paraId="0DC4AA7F" w14:textId="77777777" w:rsidR="004644C1" w:rsidRPr="0077737E" w:rsidRDefault="004644C1" w:rsidP="004644C1">
      <w:pPr>
        <w:suppressAutoHyphens/>
        <w:autoSpaceDE/>
        <w:autoSpaceDN/>
        <w:adjustRightInd/>
        <w:contextualSpacing/>
        <w:jc w:val="both"/>
        <w:rPr>
          <w:rFonts w:eastAsia="Times New Roman" w:cs="Verdana"/>
        </w:rPr>
      </w:pPr>
    </w:p>
    <w:p w14:paraId="4CCD88A0" w14:textId="77777777" w:rsidR="00EF7CE9" w:rsidRDefault="00EF7CE9"/>
    <w:sectPr w:rsidR="00EF7CE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BD2F9" w14:textId="77777777" w:rsidR="00F07B1A" w:rsidRDefault="00F07B1A" w:rsidP="004644C1">
      <w:pPr>
        <w:spacing w:line="240" w:lineRule="auto"/>
      </w:pPr>
      <w:r>
        <w:separator/>
      </w:r>
    </w:p>
  </w:endnote>
  <w:endnote w:type="continuationSeparator" w:id="0">
    <w:p w14:paraId="7ECEA0D6" w14:textId="77777777" w:rsidR="00F07B1A" w:rsidRDefault="00F07B1A" w:rsidP="004644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3621"/>
      <w:docPartObj>
        <w:docPartGallery w:val="Page Numbers (Bottom of Page)"/>
        <w:docPartUnique/>
      </w:docPartObj>
    </w:sdtPr>
    <w:sdtEndPr/>
    <w:sdtContent>
      <w:p w14:paraId="21258F21" w14:textId="71E50DAB" w:rsidR="00174543" w:rsidRDefault="00174543">
        <w:pPr>
          <w:pStyle w:val="Stopka"/>
          <w:jc w:val="center"/>
        </w:pPr>
        <w:r>
          <w:fldChar w:fldCharType="begin"/>
        </w:r>
        <w:r>
          <w:instrText>PAGE   \* MERGEFORMAT</w:instrText>
        </w:r>
        <w:r>
          <w:fldChar w:fldCharType="separate"/>
        </w:r>
        <w:r w:rsidR="00ED34F3">
          <w:rPr>
            <w:noProof/>
          </w:rPr>
          <w:t>21</w:t>
        </w:r>
        <w:r>
          <w:fldChar w:fldCharType="end"/>
        </w:r>
      </w:p>
    </w:sdtContent>
  </w:sdt>
  <w:p w14:paraId="38F0B34A" w14:textId="77777777" w:rsidR="00174543" w:rsidRDefault="001745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FF2C5" w14:textId="77777777" w:rsidR="00F07B1A" w:rsidRDefault="00F07B1A" w:rsidP="004644C1">
      <w:pPr>
        <w:spacing w:line="240" w:lineRule="auto"/>
      </w:pPr>
      <w:r>
        <w:separator/>
      </w:r>
    </w:p>
  </w:footnote>
  <w:footnote w:type="continuationSeparator" w:id="0">
    <w:p w14:paraId="0FDF44B3" w14:textId="77777777" w:rsidR="00F07B1A" w:rsidRDefault="00F07B1A" w:rsidP="004644C1">
      <w:pPr>
        <w:spacing w:line="240" w:lineRule="auto"/>
      </w:pPr>
      <w:r>
        <w:continuationSeparator/>
      </w:r>
    </w:p>
  </w:footnote>
  <w:footnote w:id="1">
    <w:p w14:paraId="44CA5684" w14:textId="77777777" w:rsidR="00174543" w:rsidRPr="00C731A1" w:rsidRDefault="00174543" w:rsidP="002417C9">
      <w:pPr>
        <w:pStyle w:val="Tekstprzypisudolnego"/>
        <w:rPr>
          <w:sz w:val="20"/>
          <w:szCs w:val="20"/>
        </w:rPr>
      </w:pPr>
      <w:r w:rsidRPr="00C731A1">
        <w:rPr>
          <w:rStyle w:val="Odwoanieprzypisudolnego"/>
          <w:sz w:val="20"/>
          <w:szCs w:val="20"/>
        </w:rPr>
        <w:footnoteRef/>
      </w:r>
      <w:r w:rsidRPr="00C731A1">
        <w:rPr>
          <w:sz w:val="20"/>
          <w:szCs w:val="20"/>
        </w:rPr>
        <w:t xml:space="preserve"> Rozważane jest wyłączenie gmin miejskich oraz miast i części miejskich z gmin wiejsko-miejskich. </w:t>
      </w:r>
    </w:p>
  </w:footnote>
  <w:footnote w:id="2">
    <w:p w14:paraId="2165D71A" w14:textId="77777777" w:rsidR="00174543" w:rsidRPr="0077737E" w:rsidRDefault="00174543" w:rsidP="002417C9">
      <w:pPr>
        <w:pStyle w:val="Tekstprzypisudolnego"/>
        <w:spacing w:line="240" w:lineRule="auto"/>
        <w:jc w:val="both"/>
        <w:rPr>
          <w:sz w:val="20"/>
          <w:szCs w:val="20"/>
        </w:rPr>
      </w:pPr>
      <w:r w:rsidRPr="00545064">
        <w:rPr>
          <w:rStyle w:val="Odwoanieprzypisudolnego"/>
          <w:sz w:val="20"/>
          <w:szCs w:val="20"/>
        </w:rPr>
        <w:footnoteRef/>
      </w:r>
      <w:r w:rsidRPr="00545064">
        <w:rPr>
          <w:sz w:val="20"/>
          <w:szCs w:val="20"/>
        </w:rPr>
        <w:t xml:space="preserve"> Koncepcje w skali mikro Smart Villages obejmują obszary zamieszkane przez nie więcej niż 20 tys. mieszkańców (lub kilka miejscowości, których łączna liczba mieszkańców nie przekracza 20 tys. mieszkańców) oraz mają na celu wypracowanie efektywnych i</w:t>
      </w:r>
      <w:r w:rsidRPr="0077737E">
        <w:rPr>
          <w:sz w:val="20"/>
          <w:szCs w:val="20"/>
        </w:rPr>
        <w:t xml:space="preserve"> niestandardowych rozwiązań miejscowych problemów dzięki innowacyjnemu podejściu; Rozwiązania te powinny:</w:t>
      </w:r>
    </w:p>
    <w:p w14:paraId="5AF9CF6B" w14:textId="77777777" w:rsidR="00174543" w:rsidRDefault="00174543" w:rsidP="002417C9">
      <w:pPr>
        <w:widowControl/>
        <w:numPr>
          <w:ilvl w:val="1"/>
          <w:numId w:val="7"/>
        </w:numPr>
        <w:suppressAutoHyphens/>
        <w:autoSpaceDE/>
        <w:autoSpaceDN/>
        <w:adjustRightInd/>
        <w:spacing w:line="240" w:lineRule="auto"/>
        <w:ind w:left="709"/>
        <w:jc w:val="both"/>
        <w:rPr>
          <w:sz w:val="20"/>
        </w:rPr>
      </w:pPr>
      <w:r w:rsidRPr="0077737E">
        <w:rPr>
          <w:sz w:val="20"/>
        </w:rPr>
        <w:t>uwzględniać użycie technologii cyfrowych i telekomunikacyjnych lub lepsze wykorzystanie wiedzy,</w:t>
      </w:r>
    </w:p>
    <w:p w14:paraId="3C9726F2" w14:textId="77777777" w:rsidR="00174543" w:rsidRPr="0077737E" w:rsidRDefault="00174543" w:rsidP="002417C9">
      <w:pPr>
        <w:widowControl/>
        <w:numPr>
          <w:ilvl w:val="1"/>
          <w:numId w:val="7"/>
        </w:numPr>
        <w:suppressAutoHyphens/>
        <w:autoSpaceDE/>
        <w:autoSpaceDN/>
        <w:adjustRightInd/>
        <w:spacing w:line="240" w:lineRule="auto"/>
        <w:ind w:left="709"/>
        <w:jc w:val="both"/>
        <w:rPr>
          <w:sz w:val="20"/>
        </w:rPr>
      </w:pPr>
      <w:r w:rsidRPr="0077737E">
        <w:rPr>
          <w:sz w:val="20"/>
        </w:rPr>
        <w:t>wykazywać korzyść dla lokalnej społeczności, m.in. w zakresie poprawy jakości życia, podniesienia jakości usług lokalnych lub bezpieczeństwa, poszanowania środowiska i klimatu, problemów dotyczących niedoinwestowania, starzejącego się społeczeństwa, wyludnienia, niewystarczającej ilości miejsc pracy, przepaści cyfrowej.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D1D"/>
    <w:multiLevelType w:val="hybridMultilevel"/>
    <w:tmpl w:val="41D4E8B0"/>
    <w:lvl w:ilvl="0" w:tplc="04150011">
      <w:start w:val="1"/>
      <w:numFmt w:val="decimal"/>
      <w:lvlText w:val="%1)"/>
      <w:lvlJc w:val="left"/>
      <w:pPr>
        <w:ind w:left="669" w:hanging="360"/>
      </w:p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1" w15:restartNumberingAfterBreak="0">
    <w:nsid w:val="023674A5"/>
    <w:multiLevelType w:val="hybridMultilevel"/>
    <w:tmpl w:val="3F0630F2"/>
    <w:lvl w:ilvl="0" w:tplc="04150017">
      <w:start w:val="1"/>
      <w:numFmt w:val="lowerLetter"/>
      <w:lvlText w:val="%1)"/>
      <w:lvlJc w:val="left"/>
      <w:pPr>
        <w:ind w:left="1120" w:hanging="360"/>
      </w:pPr>
    </w:lvl>
    <w:lvl w:ilvl="1" w:tplc="04150019">
      <w:start w:val="1"/>
      <w:numFmt w:val="lowerLetter"/>
      <w:lvlText w:val="%2."/>
      <w:lvlJc w:val="left"/>
      <w:pPr>
        <w:ind w:left="1840" w:hanging="360"/>
      </w:pPr>
    </w:lvl>
    <w:lvl w:ilvl="2" w:tplc="0415001B">
      <w:start w:val="1"/>
      <w:numFmt w:val="lowerRoman"/>
      <w:lvlText w:val="%3."/>
      <w:lvlJc w:val="right"/>
      <w:pPr>
        <w:ind w:left="2560" w:hanging="180"/>
      </w:pPr>
    </w:lvl>
    <w:lvl w:ilvl="3" w:tplc="0415000F">
      <w:start w:val="1"/>
      <w:numFmt w:val="decimal"/>
      <w:lvlText w:val="%4."/>
      <w:lvlJc w:val="left"/>
      <w:pPr>
        <w:ind w:left="3280" w:hanging="360"/>
      </w:pPr>
    </w:lvl>
    <w:lvl w:ilvl="4" w:tplc="04150019">
      <w:start w:val="1"/>
      <w:numFmt w:val="lowerLetter"/>
      <w:lvlText w:val="%5."/>
      <w:lvlJc w:val="left"/>
      <w:pPr>
        <w:ind w:left="4000" w:hanging="360"/>
      </w:pPr>
    </w:lvl>
    <w:lvl w:ilvl="5" w:tplc="0415001B">
      <w:start w:val="1"/>
      <w:numFmt w:val="lowerRoman"/>
      <w:lvlText w:val="%6."/>
      <w:lvlJc w:val="right"/>
      <w:pPr>
        <w:ind w:left="4720" w:hanging="180"/>
      </w:pPr>
    </w:lvl>
    <w:lvl w:ilvl="6" w:tplc="0415000F">
      <w:start w:val="1"/>
      <w:numFmt w:val="decimal"/>
      <w:lvlText w:val="%7."/>
      <w:lvlJc w:val="left"/>
      <w:pPr>
        <w:ind w:left="5440" w:hanging="360"/>
      </w:pPr>
    </w:lvl>
    <w:lvl w:ilvl="7" w:tplc="04150019">
      <w:start w:val="1"/>
      <w:numFmt w:val="lowerLetter"/>
      <w:lvlText w:val="%8."/>
      <w:lvlJc w:val="left"/>
      <w:pPr>
        <w:ind w:left="6160" w:hanging="360"/>
      </w:pPr>
    </w:lvl>
    <w:lvl w:ilvl="8" w:tplc="0415001B">
      <w:start w:val="1"/>
      <w:numFmt w:val="lowerRoman"/>
      <w:lvlText w:val="%9."/>
      <w:lvlJc w:val="right"/>
      <w:pPr>
        <w:ind w:left="6880" w:hanging="180"/>
      </w:pPr>
    </w:lvl>
  </w:abstractNum>
  <w:abstractNum w:abstractNumId="2" w15:restartNumberingAfterBreak="0">
    <w:nsid w:val="0C6B2917"/>
    <w:multiLevelType w:val="hybridMultilevel"/>
    <w:tmpl w:val="06F06178"/>
    <w:lvl w:ilvl="0" w:tplc="C10EDE5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6201D"/>
    <w:multiLevelType w:val="hybridMultilevel"/>
    <w:tmpl w:val="F77E4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A2435E"/>
    <w:multiLevelType w:val="hybridMultilevel"/>
    <w:tmpl w:val="5AACD73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FF6C06"/>
    <w:multiLevelType w:val="hybridMultilevel"/>
    <w:tmpl w:val="D7EAEB1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35E79A9"/>
    <w:multiLevelType w:val="hybridMultilevel"/>
    <w:tmpl w:val="7180A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10592B"/>
    <w:multiLevelType w:val="hybridMultilevel"/>
    <w:tmpl w:val="24A413C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483833"/>
    <w:multiLevelType w:val="hybridMultilevel"/>
    <w:tmpl w:val="EDEAB24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B9C3587"/>
    <w:multiLevelType w:val="hybridMultilevel"/>
    <w:tmpl w:val="9A005A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BE5327A"/>
    <w:multiLevelType w:val="hybridMultilevel"/>
    <w:tmpl w:val="77D6CF4C"/>
    <w:lvl w:ilvl="0" w:tplc="85045B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729E2"/>
    <w:multiLevelType w:val="hybridMultilevel"/>
    <w:tmpl w:val="D4381F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8974A1B"/>
    <w:multiLevelType w:val="hybridMultilevel"/>
    <w:tmpl w:val="A6324D4E"/>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DD83F35"/>
    <w:multiLevelType w:val="hybridMultilevel"/>
    <w:tmpl w:val="7116CB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EC62299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17C77DE"/>
    <w:multiLevelType w:val="hybridMultilevel"/>
    <w:tmpl w:val="10CCC1E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1A62F3D"/>
    <w:multiLevelType w:val="hybridMultilevel"/>
    <w:tmpl w:val="0854BD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CC71AB"/>
    <w:multiLevelType w:val="hybridMultilevel"/>
    <w:tmpl w:val="C41C222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222401A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0637B0"/>
    <w:multiLevelType w:val="hybridMultilevel"/>
    <w:tmpl w:val="4A983820"/>
    <w:lvl w:ilvl="0" w:tplc="C10EDE5C">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A5D105A"/>
    <w:multiLevelType w:val="hybridMultilevel"/>
    <w:tmpl w:val="DA8A6B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5B1169"/>
    <w:multiLevelType w:val="hybridMultilevel"/>
    <w:tmpl w:val="420C424A"/>
    <w:lvl w:ilvl="0" w:tplc="04150017">
      <w:start w:val="1"/>
      <w:numFmt w:val="lowerLetter"/>
      <w:lvlText w:val="%1)"/>
      <w:lvlJc w:val="left"/>
      <w:pPr>
        <w:ind w:left="1287" w:hanging="360"/>
      </w:pPr>
    </w:lvl>
    <w:lvl w:ilvl="1" w:tplc="A2E268E6">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5B6C16E1"/>
    <w:multiLevelType w:val="hybridMultilevel"/>
    <w:tmpl w:val="EE04D7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61D03CA1"/>
    <w:multiLevelType w:val="hybridMultilevel"/>
    <w:tmpl w:val="E91C57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671147A6"/>
    <w:multiLevelType w:val="hybridMultilevel"/>
    <w:tmpl w:val="C1BAAC2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32BD5"/>
    <w:multiLevelType w:val="hybridMultilevel"/>
    <w:tmpl w:val="B080B808"/>
    <w:lvl w:ilvl="0" w:tplc="9A52ABBC">
      <w:start w:val="1"/>
      <w:numFmt w:val="lowerLetter"/>
      <w:lvlText w:val="%1)"/>
      <w:lvlJc w:val="left"/>
      <w:pPr>
        <w:ind w:left="360" w:hanging="360"/>
      </w:pPr>
      <w:rPr>
        <w:rFonts w:hint="default"/>
      </w:rPr>
    </w:lvl>
    <w:lvl w:ilvl="1" w:tplc="04150019" w:tentative="1">
      <w:start w:val="1"/>
      <w:numFmt w:val="lowerLetter"/>
      <w:lvlText w:val="%2."/>
      <w:lvlJc w:val="left"/>
      <w:pPr>
        <w:ind w:left="680" w:hanging="360"/>
      </w:pPr>
    </w:lvl>
    <w:lvl w:ilvl="2" w:tplc="0415001B">
      <w:start w:val="1"/>
      <w:numFmt w:val="lowerRoman"/>
      <w:lvlText w:val="%3."/>
      <w:lvlJc w:val="right"/>
      <w:pPr>
        <w:ind w:left="1400" w:hanging="180"/>
      </w:pPr>
    </w:lvl>
    <w:lvl w:ilvl="3" w:tplc="0415000F" w:tentative="1">
      <w:start w:val="1"/>
      <w:numFmt w:val="decimal"/>
      <w:lvlText w:val="%4."/>
      <w:lvlJc w:val="left"/>
      <w:pPr>
        <w:ind w:left="2120" w:hanging="360"/>
      </w:pPr>
    </w:lvl>
    <w:lvl w:ilvl="4" w:tplc="04150019" w:tentative="1">
      <w:start w:val="1"/>
      <w:numFmt w:val="lowerLetter"/>
      <w:lvlText w:val="%5."/>
      <w:lvlJc w:val="left"/>
      <w:pPr>
        <w:ind w:left="2840" w:hanging="360"/>
      </w:pPr>
    </w:lvl>
    <w:lvl w:ilvl="5" w:tplc="0415001B" w:tentative="1">
      <w:start w:val="1"/>
      <w:numFmt w:val="lowerRoman"/>
      <w:lvlText w:val="%6."/>
      <w:lvlJc w:val="right"/>
      <w:pPr>
        <w:ind w:left="3560" w:hanging="180"/>
      </w:pPr>
    </w:lvl>
    <w:lvl w:ilvl="6" w:tplc="0415000F" w:tentative="1">
      <w:start w:val="1"/>
      <w:numFmt w:val="decimal"/>
      <w:lvlText w:val="%7."/>
      <w:lvlJc w:val="left"/>
      <w:pPr>
        <w:ind w:left="4280" w:hanging="360"/>
      </w:pPr>
    </w:lvl>
    <w:lvl w:ilvl="7" w:tplc="04150019" w:tentative="1">
      <w:start w:val="1"/>
      <w:numFmt w:val="lowerLetter"/>
      <w:lvlText w:val="%8."/>
      <w:lvlJc w:val="left"/>
      <w:pPr>
        <w:ind w:left="5000" w:hanging="360"/>
      </w:pPr>
    </w:lvl>
    <w:lvl w:ilvl="8" w:tplc="0415001B" w:tentative="1">
      <w:start w:val="1"/>
      <w:numFmt w:val="lowerRoman"/>
      <w:lvlText w:val="%9."/>
      <w:lvlJc w:val="right"/>
      <w:pPr>
        <w:ind w:left="5720" w:hanging="180"/>
      </w:pPr>
    </w:lvl>
  </w:abstractNum>
  <w:abstractNum w:abstractNumId="24" w15:restartNumberingAfterBreak="0">
    <w:nsid w:val="775C557E"/>
    <w:multiLevelType w:val="hybridMultilevel"/>
    <w:tmpl w:val="A6766CD4"/>
    <w:lvl w:ilvl="0" w:tplc="04150017">
      <w:start w:val="1"/>
      <w:numFmt w:val="lowerLetter"/>
      <w:lvlText w:val="%1)"/>
      <w:lvlJc w:val="left"/>
      <w:pPr>
        <w:ind w:left="1120" w:hanging="360"/>
      </w:pPr>
    </w:lvl>
    <w:lvl w:ilvl="1" w:tplc="04150019">
      <w:start w:val="1"/>
      <w:numFmt w:val="lowerLetter"/>
      <w:lvlText w:val="%2."/>
      <w:lvlJc w:val="left"/>
      <w:pPr>
        <w:ind w:left="1840" w:hanging="360"/>
      </w:pPr>
    </w:lvl>
    <w:lvl w:ilvl="2" w:tplc="0415001B">
      <w:start w:val="1"/>
      <w:numFmt w:val="lowerRoman"/>
      <w:lvlText w:val="%3."/>
      <w:lvlJc w:val="right"/>
      <w:pPr>
        <w:ind w:left="2560" w:hanging="180"/>
      </w:pPr>
    </w:lvl>
    <w:lvl w:ilvl="3" w:tplc="0415000F">
      <w:start w:val="1"/>
      <w:numFmt w:val="decimal"/>
      <w:lvlText w:val="%4."/>
      <w:lvlJc w:val="left"/>
      <w:pPr>
        <w:ind w:left="3280" w:hanging="360"/>
      </w:pPr>
    </w:lvl>
    <w:lvl w:ilvl="4" w:tplc="04150019">
      <w:start w:val="1"/>
      <w:numFmt w:val="lowerLetter"/>
      <w:lvlText w:val="%5."/>
      <w:lvlJc w:val="left"/>
      <w:pPr>
        <w:ind w:left="4000" w:hanging="360"/>
      </w:pPr>
    </w:lvl>
    <w:lvl w:ilvl="5" w:tplc="0415001B">
      <w:start w:val="1"/>
      <w:numFmt w:val="lowerRoman"/>
      <w:lvlText w:val="%6."/>
      <w:lvlJc w:val="right"/>
      <w:pPr>
        <w:ind w:left="4720" w:hanging="180"/>
      </w:pPr>
    </w:lvl>
    <w:lvl w:ilvl="6" w:tplc="0415000F">
      <w:start w:val="1"/>
      <w:numFmt w:val="decimal"/>
      <w:lvlText w:val="%7."/>
      <w:lvlJc w:val="left"/>
      <w:pPr>
        <w:ind w:left="5440" w:hanging="360"/>
      </w:pPr>
    </w:lvl>
    <w:lvl w:ilvl="7" w:tplc="04150019">
      <w:start w:val="1"/>
      <w:numFmt w:val="lowerLetter"/>
      <w:lvlText w:val="%8."/>
      <w:lvlJc w:val="left"/>
      <w:pPr>
        <w:ind w:left="6160" w:hanging="360"/>
      </w:pPr>
    </w:lvl>
    <w:lvl w:ilvl="8" w:tplc="0415001B">
      <w:start w:val="1"/>
      <w:numFmt w:val="lowerRoman"/>
      <w:lvlText w:val="%9."/>
      <w:lvlJc w:val="right"/>
      <w:pPr>
        <w:ind w:left="6880" w:hanging="180"/>
      </w:pPr>
    </w:lvl>
  </w:abstractNum>
  <w:abstractNum w:abstractNumId="25" w15:restartNumberingAfterBreak="0">
    <w:nsid w:val="78D25327"/>
    <w:multiLevelType w:val="multilevel"/>
    <w:tmpl w:val="7EF05A50"/>
    <w:lvl w:ilvl="0">
      <w:start w:val="1"/>
      <w:numFmt w:val="decimal"/>
      <w:lvlText w:val="%1)"/>
      <w:lvlJc w:val="left"/>
      <w:pPr>
        <w:tabs>
          <w:tab w:val="num" w:pos="0"/>
        </w:tabs>
        <w:ind w:left="530" w:hanging="360"/>
      </w:pPr>
    </w:lvl>
    <w:lvl w:ilvl="1">
      <w:start w:val="1"/>
      <w:numFmt w:val="lowerLetter"/>
      <w:lvlText w:val="%2."/>
      <w:lvlJc w:val="left"/>
      <w:pPr>
        <w:tabs>
          <w:tab w:val="num" w:pos="0"/>
        </w:tabs>
        <w:ind w:left="1250" w:hanging="360"/>
      </w:pPr>
    </w:lvl>
    <w:lvl w:ilvl="2">
      <w:start w:val="1"/>
      <w:numFmt w:val="lowerRoman"/>
      <w:lvlText w:val="%3."/>
      <w:lvlJc w:val="right"/>
      <w:pPr>
        <w:tabs>
          <w:tab w:val="num" w:pos="0"/>
        </w:tabs>
        <w:ind w:left="1970" w:hanging="180"/>
      </w:pPr>
    </w:lvl>
    <w:lvl w:ilvl="3">
      <w:start w:val="1"/>
      <w:numFmt w:val="decimal"/>
      <w:lvlText w:val="%4."/>
      <w:lvlJc w:val="left"/>
      <w:pPr>
        <w:tabs>
          <w:tab w:val="num" w:pos="0"/>
        </w:tabs>
        <w:ind w:left="2690" w:hanging="360"/>
      </w:pPr>
    </w:lvl>
    <w:lvl w:ilvl="4">
      <w:start w:val="1"/>
      <w:numFmt w:val="lowerLetter"/>
      <w:lvlText w:val="%5."/>
      <w:lvlJc w:val="left"/>
      <w:pPr>
        <w:tabs>
          <w:tab w:val="num" w:pos="0"/>
        </w:tabs>
        <w:ind w:left="3410" w:hanging="360"/>
      </w:pPr>
    </w:lvl>
    <w:lvl w:ilvl="5">
      <w:start w:val="1"/>
      <w:numFmt w:val="lowerRoman"/>
      <w:lvlText w:val="%6."/>
      <w:lvlJc w:val="right"/>
      <w:pPr>
        <w:tabs>
          <w:tab w:val="num" w:pos="0"/>
        </w:tabs>
        <w:ind w:left="4130" w:hanging="180"/>
      </w:pPr>
    </w:lvl>
    <w:lvl w:ilvl="6">
      <w:start w:val="1"/>
      <w:numFmt w:val="decimal"/>
      <w:lvlText w:val="%7."/>
      <w:lvlJc w:val="left"/>
      <w:pPr>
        <w:tabs>
          <w:tab w:val="num" w:pos="0"/>
        </w:tabs>
        <w:ind w:left="4850" w:hanging="360"/>
      </w:pPr>
    </w:lvl>
    <w:lvl w:ilvl="7">
      <w:start w:val="1"/>
      <w:numFmt w:val="lowerLetter"/>
      <w:lvlText w:val="%8."/>
      <w:lvlJc w:val="left"/>
      <w:pPr>
        <w:tabs>
          <w:tab w:val="num" w:pos="0"/>
        </w:tabs>
        <w:ind w:left="5570" w:hanging="360"/>
      </w:pPr>
    </w:lvl>
    <w:lvl w:ilvl="8">
      <w:start w:val="1"/>
      <w:numFmt w:val="lowerRoman"/>
      <w:lvlText w:val="%9."/>
      <w:lvlJc w:val="right"/>
      <w:pPr>
        <w:tabs>
          <w:tab w:val="num" w:pos="0"/>
        </w:tabs>
        <w:ind w:left="6290" w:hanging="180"/>
      </w:pPr>
    </w:lvl>
  </w:abstractNum>
  <w:abstractNum w:abstractNumId="26" w15:restartNumberingAfterBreak="0">
    <w:nsid w:val="7FAA6B39"/>
    <w:multiLevelType w:val="hybridMultilevel"/>
    <w:tmpl w:val="710AF31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20"/>
  </w:num>
  <w:num w:numId="2">
    <w:abstractNumId w:val="21"/>
  </w:num>
  <w:num w:numId="3">
    <w:abstractNumId w:val="19"/>
  </w:num>
  <w:num w:numId="4">
    <w:abstractNumId w:val="2"/>
  </w:num>
  <w:num w:numId="5">
    <w:abstractNumId w:val="0"/>
  </w:num>
  <w:num w:numId="6">
    <w:abstractNumId w:val="12"/>
  </w:num>
  <w:num w:numId="7">
    <w:abstractNumId w:val="22"/>
  </w:num>
  <w:num w:numId="8">
    <w:abstractNumId w:val="2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13"/>
  </w:num>
  <w:num w:numId="13">
    <w:abstractNumId w:val="7"/>
  </w:num>
  <w:num w:numId="14">
    <w:abstractNumId w:val="16"/>
  </w:num>
  <w:num w:numId="15">
    <w:abstractNumId w:val="11"/>
  </w:num>
  <w:num w:numId="16">
    <w:abstractNumId w:val="8"/>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6"/>
  </w:num>
  <w:num w:numId="20">
    <w:abstractNumId w:val="6"/>
  </w:num>
  <w:num w:numId="21">
    <w:abstractNumId w:val="3"/>
  </w:num>
  <w:num w:numId="22">
    <w:abstractNumId w:val="9"/>
  </w:num>
  <w:num w:numId="23">
    <w:abstractNumId w:val="23"/>
  </w:num>
  <w:num w:numId="24">
    <w:abstractNumId w:val="4"/>
  </w:num>
  <w:num w:numId="25">
    <w:abstractNumId w:val="5"/>
  </w:num>
  <w:num w:numId="26">
    <w:abstractNumId w:val="1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C1"/>
    <w:rsid w:val="000023DF"/>
    <w:rsid w:val="00003AED"/>
    <w:rsid w:val="000112F1"/>
    <w:rsid w:val="00023CED"/>
    <w:rsid w:val="0003479B"/>
    <w:rsid w:val="000419A1"/>
    <w:rsid w:val="000423CC"/>
    <w:rsid w:val="00054EE6"/>
    <w:rsid w:val="0008542B"/>
    <w:rsid w:val="000948B4"/>
    <w:rsid w:val="00096E61"/>
    <w:rsid w:val="000A3BF4"/>
    <w:rsid w:val="000A5538"/>
    <w:rsid w:val="000B1B0C"/>
    <w:rsid w:val="000B637B"/>
    <w:rsid w:val="000C5077"/>
    <w:rsid w:val="000D0236"/>
    <w:rsid w:val="000D04FB"/>
    <w:rsid w:val="000D40FC"/>
    <w:rsid w:val="000E0072"/>
    <w:rsid w:val="000E5580"/>
    <w:rsid w:val="000F1734"/>
    <w:rsid w:val="000F26A0"/>
    <w:rsid w:val="000F71C1"/>
    <w:rsid w:val="00117FC4"/>
    <w:rsid w:val="00120705"/>
    <w:rsid w:val="001224AC"/>
    <w:rsid w:val="00152AE8"/>
    <w:rsid w:val="00156A59"/>
    <w:rsid w:val="00161005"/>
    <w:rsid w:val="00163416"/>
    <w:rsid w:val="00172998"/>
    <w:rsid w:val="00174543"/>
    <w:rsid w:val="00185048"/>
    <w:rsid w:val="0018652D"/>
    <w:rsid w:val="0019488C"/>
    <w:rsid w:val="001A2054"/>
    <w:rsid w:val="001A4E79"/>
    <w:rsid w:val="001B2058"/>
    <w:rsid w:val="001C0F55"/>
    <w:rsid w:val="001D6CDC"/>
    <w:rsid w:val="00201F15"/>
    <w:rsid w:val="0020559B"/>
    <w:rsid w:val="00210182"/>
    <w:rsid w:val="00221D07"/>
    <w:rsid w:val="00222CD0"/>
    <w:rsid w:val="002417C9"/>
    <w:rsid w:val="00261DE2"/>
    <w:rsid w:val="002647C7"/>
    <w:rsid w:val="00274300"/>
    <w:rsid w:val="00276209"/>
    <w:rsid w:val="00277B88"/>
    <w:rsid w:val="00291779"/>
    <w:rsid w:val="00297843"/>
    <w:rsid w:val="002A33C7"/>
    <w:rsid w:val="002A3ABA"/>
    <w:rsid w:val="002B397B"/>
    <w:rsid w:val="002B6465"/>
    <w:rsid w:val="002B688B"/>
    <w:rsid w:val="002C7B7F"/>
    <w:rsid w:val="002D7137"/>
    <w:rsid w:val="002E1E93"/>
    <w:rsid w:val="00306E7D"/>
    <w:rsid w:val="0030705B"/>
    <w:rsid w:val="0031465E"/>
    <w:rsid w:val="00315B09"/>
    <w:rsid w:val="00317F88"/>
    <w:rsid w:val="00320DF3"/>
    <w:rsid w:val="00352977"/>
    <w:rsid w:val="003575B2"/>
    <w:rsid w:val="00367C52"/>
    <w:rsid w:val="00377849"/>
    <w:rsid w:val="00390100"/>
    <w:rsid w:val="003917C5"/>
    <w:rsid w:val="00397829"/>
    <w:rsid w:val="003A21D7"/>
    <w:rsid w:val="003C0F6B"/>
    <w:rsid w:val="003C3546"/>
    <w:rsid w:val="003C5FE1"/>
    <w:rsid w:val="003D49BD"/>
    <w:rsid w:val="003E0619"/>
    <w:rsid w:val="003E514F"/>
    <w:rsid w:val="003E65A5"/>
    <w:rsid w:val="003F5736"/>
    <w:rsid w:val="0041544D"/>
    <w:rsid w:val="004250D6"/>
    <w:rsid w:val="004279DF"/>
    <w:rsid w:val="00432EC8"/>
    <w:rsid w:val="00450BCE"/>
    <w:rsid w:val="00452448"/>
    <w:rsid w:val="004644C1"/>
    <w:rsid w:val="004A7D18"/>
    <w:rsid w:val="004B1596"/>
    <w:rsid w:val="004B2986"/>
    <w:rsid w:val="004D7802"/>
    <w:rsid w:val="004E0EE4"/>
    <w:rsid w:val="004E2950"/>
    <w:rsid w:val="004E35B6"/>
    <w:rsid w:val="004F5396"/>
    <w:rsid w:val="00502DDB"/>
    <w:rsid w:val="00502ED7"/>
    <w:rsid w:val="00516B2D"/>
    <w:rsid w:val="00535F16"/>
    <w:rsid w:val="00542EFA"/>
    <w:rsid w:val="00545064"/>
    <w:rsid w:val="005511F4"/>
    <w:rsid w:val="00553462"/>
    <w:rsid w:val="00567D41"/>
    <w:rsid w:val="0057505D"/>
    <w:rsid w:val="00576E72"/>
    <w:rsid w:val="00581743"/>
    <w:rsid w:val="00595DE1"/>
    <w:rsid w:val="005A2F5C"/>
    <w:rsid w:val="005A4622"/>
    <w:rsid w:val="005D1F2B"/>
    <w:rsid w:val="005F24F0"/>
    <w:rsid w:val="005F467B"/>
    <w:rsid w:val="00612C46"/>
    <w:rsid w:val="00617752"/>
    <w:rsid w:val="006343EC"/>
    <w:rsid w:val="0063527B"/>
    <w:rsid w:val="00647B74"/>
    <w:rsid w:val="006522EF"/>
    <w:rsid w:val="00667948"/>
    <w:rsid w:val="006709AD"/>
    <w:rsid w:val="006728C9"/>
    <w:rsid w:val="00681BBF"/>
    <w:rsid w:val="00684608"/>
    <w:rsid w:val="00686E04"/>
    <w:rsid w:val="00692639"/>
    <w:rsid w:val="006B5905"/>
    <w:rsid w:val="006B60D9"/>
    <w:rsid w:val="006C539A"/>
    <w:rsid w:val="006E37E5"/>
    <w:rsid w:val="006E6C52"/>
    <w:rsid w:val="006E7044"/>
    <w:rsid w:val="00713975"/>
    <w:rsid w:val="00737417"/>
    <w:rsid w:val="007476CB"/>
    <w:rsid w:val="00751BD6"/>
    <w:rsid w:val="007652A7"/>
    <w:rsid w:val="007664D4"/>
    <w:rsid w:val="00771CA8"/>
    <w:rsid w:val="00777C33"/>
    <w:rsid w:val="00794BCA"/>
    <w:rsid w:val="00795144"/>
    <w:rsid w:val="007A5AD8"/>
    <w:rsid w:val="007F5D92"/>
    <w:rsid w:val="00814248"/>
    <w:rsid w:val="00824E16"/>
    <w:rsid w:val="00826F7B"/>
    <w:rsid w:val="008324BF"/>
    <w:rsid w:val="00836B10"/>
    <w:rsid w:val="0085034B"/>
    <w:rsid w:val="008577F2"/>
    <w:rsid w:val="00866DCF"/>
    <w:rsid w:val="008B0397"/>
    <w:rsid w:val="008B2A2A"/>
    <w:rsid w:val="008B4BF6"/>
    <w:rsid w:val="008C089F"/>
    <w:rsid w:val="008D3F26"/>
    <w:rsid w:val="008D4872"/>
    <w:rsid w:val="0090715B"/>
    <w:rsid w:val="0090789D"/>
    <w:rsid w:val="00910540"/>
    <w:rsid w:val="0091093C"/>
    <w:rsid w:val="00915114"/>
    <w:rsid w:val="00915367"/>
    <w:rsid w:val="009425DE"/>
    <w:rsid w:val="00945D93"/>
    <w:rsid w:val="009527C7"/>
    <w:rsid w:val="00954C6D"/>
    <w:rsid w:val="009578AB"/>
    <w:rsid w:val="00961451"/>
    <w:rsid w:val="009658F8"/>
    <w:rsid w:val="00973B47"/>
    <w:rsid w:val="0098763D"/>
    <w:rsid w:val="009B5E60"/>
    <w:rsid w:val="009D17A8"/>
    <w:rsid w:val="009D2A78"/>
    <w:rsid w:val="009E0E50"/>
    <w:rsid w:val="009E4B15"/>
    <w:rsid w:val="009F2100"/>
    <w:rsid w:val="009F2C14"/>
    <w:rsid w:val="00A156D4"/>
    <w:rsid w:val="00A32B2F"/>
    <w:rsid w:val="00A37A0B"/>
    <w:rsid w:val="00A65A43"/>
    <w:rsid w:val="00A771CC"/>
    <w:rsid w:val="00A77247"/>
    <w:rsid w:val="00A943F1"/>
    <w:rsid w:val="00AA0904"/>
    <w:rsid w:val="00AA3D7D"/>
    <w:rsid w:val="00AB3107"/>
    <w:rsid w:val="00AB6AF5"/>
    <w:rsid w:val="00AC1691"/>
    <w:rsid w:val="00AF0622"/>
    <w:rsid w:val="00B073F5"/>
    <w:rsid w:val="00B15536"/>
    <w:rsid w:val="00B17889"/>
    <w:rsid w:val="00B31803"/>
    <w:rsid w:val="00B40B0E"/>
    <w:rsid w:val="00B52DC6"/>
    <w:rsid w:val="00B658E7"/>
    <w:rsid w:val="00B7571B"/>
    <w:rsid w:val="00B8053B"/>
    <w:rsid w:val="00B82443"/>
    <w:rsid w:val="00B910A1"/>
    <w:rsid w:val="00BA48D9"/>
    <w:rsid w:val="00BC3A7A"/>
    <w:rsid w:val="00BC4241"/>
    <w:rsid w:val="00BC551A"/>
    <w:rsid w:val="00BD5AA9"/>
    <w:rsid w:val="00BE1370"/>
    <w:rsid w:val="00BF463E"/>
    <w:rsid w:val="00C10EAA"/>
    <w:rsid w:val="00C22050"/>
    <w:rsid w:val="00C24DB6"/>
    <w:rsid w:val="00C2555C"/>
    <w:rsid w:val="00C33FC6"/>
    <w:rsid w:val="00C704D8"/>
    <w:rsid w:val="00CA048C"/>
    <w:rsid w:val="00CA3B39"/>
    <w:rsid w:val="00CA5B92"/>
    <w:rsid w:val="00CC38BE"/>
    <w:rsid w:val="00CF6413"/>
    <w:rsid w:val="00D11890"/>
    <w:rsid w:val="00D229BB"/>
    <w:rsid w:val="00D36B28"/>
    <w:rsid w:val="00D43535"/>
    <w:rsid w:val="00D44E2B"/>
    <w:rsid w:val="00D46430"/>
    <w:rsid w:val="00D65418"/>
    <w:rsid w:val="00D77AAA"/>
    <w:rsid w:val="00D85136"/>
    <w:rsid w:val="00D96A15"/>
    <w:rsid w:val="00DB6DC0"/>
    <w:rsid w:val="00DB7A47"/>
    <w:rsid w:val="00DD1DB0"/>
    <w:rsid w:val="00DE4E14"/>
    <w:rsid w:val="00DF29C4"/>
    <w:rsid w:val="00DF2A76"/>
    <w:rsid w:val="00DF40AA"/>
    <w:rsid w:val="00DF4E26"/>
    <w:rsid w:val="00DF74E4"/>
    <w:rsid w:val="00DF7D7D"/>
    <w:rsid w:val="00E01158"/>
    <w:rsid w:val="00E057F8"/>
    <w:rsid w:val="00E251C9"/>
    <w:rsid w:val="00E617D6"/>
    <w:rsid w:val="00E77CD6"/>
    <w:rsid w:val="00E843C0"/>
    <w:rsid w:val="00E84DA8"/>
    <w:rsid w:val="00E84F68"/>
    <w:rsid w:val="00E8529B"/>
    <w:rsid w:val="00E93693"/>
    <w:rsid w:val="00E9463F"/>
    <w:rsid w:val="00EC1ED6"/>
    <w:rsid w:val="00EC7454"/>
    <w:rsid w:val="00ED34F3"/>
    <w:rsid w:val="00ED748F"/>
    <w:rsid w:val="00EE30F8"/>
    <w:rsid w:val="00EE4565"/>
    <w:rsid w:val="00EF7CE9"/>
    <w:rsid w:val="00F03685"/>
    <w:rsid w:val="00F07B1A"/>
    <w:rsid w:val="00F26B30"/>
    <w:rsid w:val="00F51B95"/>
    <w:rsid w:val="00F51D60"/>
    <w:rsid w:val="00F633C8"/>
    <w:rsid w:val="00F65AB7"/>
    <w:rsid w:val="00F708E9"/>
    <w:rsid w:val="00F73DB2"/>
    <w:rsid w:val="00F93A3E"/>
    <w:rsid w:val="00F96F5C"/>
    <w:rsid w:val="00FA67BD"/>
    <w:rsid w:val="00FB7EE5"/>
    <w:rsid w:val="00FC2F76"/>
    <w:rsid w:val="00FC5299"/>
    <w:rsid w:val="00FD501A"/>
    <w:rsid w:val="00FF4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E6CA"/>
  <w15:chartTrackingRefBased/>
  <w15:docId w15:val="{32F99D67-80F3-450F-B1F5-43E1BD1E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44C1"/>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rsid w:val="004644C1"/>
    <w:rPr>
      <w:rFonts w:cs="Times New Roman"/>
      <w:vertAlign w:val="superscript"/>
    </w:rPr>
  </w:style>
  <w:style w:type="paragraph" w:customStyle="1" w:styleId="ARTartustawynprozporzdzenia">
    <w:name w:val="ART(§) – art. ustawy (§ np. rozporządzenia)"/>
    <w:qFormat/>
    <w:rsid w:val="004644C1"/>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LITlitera">
    <w:name w:val="LIT – litera"/>
    <w:basedOn w:val="Normalny"/>
    <w:uiPriority w:val="14"/>
    <w:qFormat/>
    <w:rsid w:val="004644C1"/>
    <w:pPr>
      <w:widowControl/>
      <w:autoSpaceDE/>
      <w:autoSpaceDN/>
      <w:adjustRightInd/>
      <w:ind w:left="986" w:hanging="476"/>
      <w:jc w:val="both"/>
    </w:pPr>
    <w:rPr>
      <w:rFonts w:ascii="Times" w:hAnsi="Times"/>
      <w:bCs/>
    </w:rPr>
  </w:style>
  <w:style w:type="paragraph" w:styleId="Tekstprzypisudolnego">
    <w:name w:val="footnote text"/>
    <w:basedOn w:val="Normalny"/>
    <w:link w:val="TekstprzypisudolnegoZnak"/>
    <w:uiPriority w:val="99"/>
    <w:semiHidden/>
    <w:qFormat/>
    <w:rsid w:val="004644C1"/>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qFormat/>
    <w:rsid w:val="004644C1"/>
    <w:rPr>
      <w:rFonts w:ascii="Times" w:eastAsia="Times New Roman" w:hAnsi="Times" w:cs="Times New Roman"/>
      <w:sz w:val="24"/>
      <w:szCs w:val="24"/>
      <w:lang w:eastAsia="pl-PL"/>
    </w:rPr>
  </w:style>
  <w:style w:type="character" w:styleId="Odwoaniedokomentarza">
    <w:name w:val="annotation reference"/>
    <w:basedOn w:val="Domylnaczcionkaakapitu"/>
    <w:uiPriority w:val="99"/>
    <w:semiHidden/>
    <w:qFormat/>
    <w:rsid w:val="004644C1"/>
    <w:rPr>
      <w:sz w:val="16"/>
      <w:szCs w:val="16"/>
    </w:rPr>
  </w:style>
  <w:style w:type="paragraph" w:styleId="Tekstkomentarza">
    <w:name w:val="annotation text"/>
    <w:basedOn w:val="Normalny"/>
    <w:link w:val="TekstkomentarzaZnak"/>
    <w:uiPriority w:val="99"/>
    <w:qFormat/>
    <w:rsid w:val="004644C1"/>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qFormat/>
    <w:rsid w:val="004644C1"/>
    <w:rPr>
      <w:rFonts w:ascii="Times" w:eastAsia="Times New Roman" w:hAnsi="Times" w:cs="Times New Roman"/>
      <w:sz w:val="24"/>
      <w:szCs w:val="24"/>
      <w:lang w:eastAsia="pl-PL"/>
    </w:rPr>
  </w:style>
  <w:style w:type="character" w:customStyle="1" w:styleId="Kkursywa">
    <w:name w:val="_K_ – kursywa"/>
    <w:basedOn w:val="Domylnaczcionkaakapitu"/>
    <w:uiPriority w:val="1"/>
    <w:qFormat/>
    <w:rsid w:val="004644C1"/>
    <w:rPr>
      <w:i/>
    </w:rPr>
  </w:style>
  <w:style w:type="character" w:styleId="Hipercze">
    <w:name w:val="Hyperlink"/>
    <w:basedOn w:val="Domylnaczcionkaakapitu"/>
    <w:uiPriority w:val="99"/>
    <w:unhideWhenUsed/>
    <w:rsid w:val="004644C1"/>
    <w:rPr>
      <w:color w:val="0563C1" w:themeColor="hyperlink"/>
      <w:u w:val="single"/>
    </w:rPr>
  </w:style>
  <w:style w:type="paragraph" w:styleId="Akapitzlist">
    <w:name w:val="List Paragraph"/>
    <w:aliases w:val="Dot pt,F5 List Paragraph"/>
    <w:basedOn w:val="Normalny"/>
    <w:link w:val="AkapitzlistZnak"/>
    <w:uiPriority w:val="99"/>
    <w:qFormat/>
    <w:rsid w:val="004644C1"/>
    <w:pPr>
      <w:ind w:left="720"/>
      <w:contextualSpacing/>
    </w:pPr>
  </w:style>
  <w:style w:type="character" w:customStyle="1" w:styleId="AkapitzlistZnak">
    <w:name w:val="Akapit z listą Znak"/>
    <w:aliases w:val="Dot pt Znak,F5 List Paragraph Znak"/>
    <w:link w:val="Akapitzlist"/>
    <w:uiPriority w:val="99"/>
    <w:locked/>
    <w:rsid w:val="004644C1"/>
    <w:rPr>
      <w:rFonts w:ascii="Times New Roman" w:eastAsiaTheme="minorEastAsia" w:hAnsi="Times New Roman" w:cs="Arial"/>
      <w:sz w:val="24"/>
      <w:szCs w:val="20"/>
      <w:lang w:eastAsia="pl-PL"/>
    </w:rPr>
  </w:style>
  <w:style w:type="paragraph" w:styleId="Tekstdymka">
    <w:name w:val="Balloon Text"/>
    <w:basedOn w:val="Normalny"/>
    <w:link w:val="TekstdymkaZnak"/>
    <w:uiPriority w:val="99"/>
    <w:semiHidden/>
    <w:unhideWhenUsed/>
    <w:rsid w:val="004644C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44C1"/>
    <w:rPr>
      <w:rFonts w:ascii="Segoe UI" w:eastAsiaTheme="minorEastAsia"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452448"/>
    <w:pPr>
      <w:spacing w:line="240" w:lineRule="auto"/>
    </w:pPr>
    <w:rPr>
      <w:rFonts w:ascii="Times New Roman" w:eastAsiaTheme="minorEastAsia" w:hAnsi="Times New Roman" w:cs="Arial"/>
      <w:b/>
      <w:bCs/>
      <w:sz w:val="20"/>
      <w:szCs w:val="20"/>
    </w:rPr>
  </w:style>
  <w:style w:type="character" w:customStyle="1" w:styleId="TematkomentarzaZnak">
    <w:name w:val="Temat komentarza Znak"/>
    <w:basedOn w:val="TekstkomentarzaZnak"/>
    <w:link w:val="Tematkomentarza"/>
    <w:uiPriority w:val="99"/>
    <w:semiHidden/>
    <w:rsid w:val="00452448"/>
    <w:rPr>
      <w:rFonts w:ascii="Times New Roman" w:eastAsiaTheme="minorEastAsia" w:hAnsi="Times New Roman" w:cs="Arial"/>
      <w:b/>
      <w:bCs/>
      <w:sz w:val="20"/>
      <w:szCs w:val="20"/>
      <w:lang w:eastAsia="pl-PL"/>
    </w:rPr>
  </w:style>
  <w:style w:type="paragraph" w:styleId="Nagwek">
    <w:name w:val="header"/>
    <w:basedOn w:val="Normalny"/>
    <w:link w:val="NagwekZnak"/>
    <w:uiPriority w:val="99"/>
    <w:unhideWhenUsed/>
    <w:rsid w:val="00B910A1"/>
    <w:pPr>
      <w:tabs>
        <w:tab w:val="center" w:pos="4536"/>
        <w:tab w:val="right" w:pos="9072"/>
      </w:tabs>
      <w:spacing w:line="240" w:lineRule="auto"/>
    </w:pPr>
  </w:style>
  <w:style w:type="character" w:customStyle="1" w:styleId="NagwekZnak">
    <w:name w:val="Nagłówek Znak"/>
    <w:basedOn w:val="Domylnaczcionkaakapitu"/>
    <w:link w:val="Nagwek"/>
    <w:uiPriority w:val="99"/>
    <w:rsid w:val="00B910A1"/>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B910A1"/>
    <w:pPr>
      <w:tabs>
        <w:tab w:val="center" w:pos="4536"/>
        <w:tab w:val="right" w:pos="9072"/>
      </w:tabs>
      <w:spacing w:line="240" w:lineRule="auto"/>
    </w:pPr>
  </w:style>
  <w:style w:type="character" w:customStyle="1" w:styleId="StopkaZnak">
    <w:name w:val="Stopka Znak"/>
    <w:basedOn w:val="Domylnaczcionkaakapitu"/>
    <w:link w:val="Stopka"/>
    <w:uiPriority w:val="99"/>
    <w:rsid w:val="00B910A1"/>
    <w:rPr>
      <w:rFonts w:ascii="Times New Roman" w:eastAsiaTheme="minorEastAsia" w:hAnsi="Times New Roman" w:cs="Arial"/>
      <w:sz w:val="24"/>
      <w:szCs w:val="20"/>
      <w:lang w:eastAsia="pl-PL"/>
    </w:rPr>
  </w:style>
  <w:style w:type="paragraph" w:customStyle="1" w:styleId="ZLITUSTzmustliter">
    <w:name w:val="Z_LIT/UST(§) – zm. ust. (§) literą"/>
    <w:basedOn w:val="Normalny"/>
    <w:uiPriority w:val="46"/>
    <w:qFormat/>
    <w:rsid w:val="006E7044"/>
    <w:pPr>
      <w:widowControl/>
      <w:suppressAutoHyphens/>
      <w:ind w:left="987" w:firstLine="510"/>
      <w:jc w:val="both"/>
    </w:pPr>
    <w:rPr>
      <w:rFonts w:ascii="Times" w:hAnsi="Times"/>
      <w:bCs/>
    </w:rPr>
  </w:style>
  <w:style w:type="paragraph" w:customStyle="1" w:styleId="ZNIEARTTEKSTzmtekstunieartykuowanego">
    <w:name w:val="Z/NIEART_TEKST – zm. tekstu nieartykułowanego"/>
    <w:basedOn w:val="Normalny"/>
    <w:uiPriority w:val="37"/>
    <w:qFormat/>
    <w:rsid w:val="006E7044"/>
    <w:pPr>
      <w:widowControl/>
      <w:suppressAutoHyphens/>
      <w:spacing w:before="120"/>
      <w:ind w:left="510" w:firstLine="510"/>
      <w:jc w:val="both"/>
    </w:pPr>
    <w:rPr>
      <w:rFonts w:ascii="Times" w:hAnsi="Times"/>
      <w:bCs/>
    </w:rPr>
  </w:style>
  <w:style w:type="paragraph" w:customStyle="1" w:styleId="PKTpunkt">
    <w:name w:val="PKT – punkt"/>
    <w:uiPriority w:val="13"/>
    <w:qFormat/>
    <w:rsid w:val="006E7044"/>
    <w:pPr>
      <w:spacing w:after="0" w:line="360" w:lineRule="auto"/>
      <w:ind w:left="510" w:hanging="510"/>
      <w:jc w:val="both"/>
    </w:pPr>
    <w:rPr>
      <w:rFonts w:ascii="Times" w:eastAsiaTheme="minorEastAsia" w:hAnsi="Times" w:cs="Arial"/>
      <w:bCs/>
      <w:sz w:val="24"/>
      <w:szCs w:val="20"/>
      <w:lang w:eastAsia="pl-PL"/>
    </w:rPr>
  </w:style>
  <w:style w:type="character" w:customStyle="1" w:styleId="Ppogrubienie">
    <w:name w:val="_P_ – pogrubienie"/>
    <w:basedOn w:val="Domylnaczcionkaakapitu"/>
    <w:uiPriority w:val="1"/>
    <w:qFormat/>
    <w:rsid w:val="00E01158"/>
    <w:rPr>
      <w:b/>
    </w:rPr>
  </w:style>
  <w:style w:type="paragraph" w:styleId="Tekstprzypisukocowego">
    <w:name w:val="endnote text"/>
    <w:basedOn w:val="Normalny"/>
    <w:link w:val="TekstprzypisukocowegoZnak"/>
    <w:uiPriority w:val="99"/>
    <w:semiHidden/>
    <w:unhideWhenUsed/>
    <w:rsid w:val="00C24DB6"/>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C24DB6"/>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unhideWhenUsed/>
    <w:rsid w:val="00C24D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002105">
      <w:bodyDiv w:val="1"/>
      <w:marLeft w:val="0"/>
      <w:marRight w:val="0"/>
      <w:marTop w:val="0"/>
      <w:marBottom w:val="0"/>
      <w:divBdr>
        <w:top w:val="none" w:sz="0" w:space="0" w:color="auto"/>
        <w:left w:val="none" w:sz="0" w:space="0" w:color="auto"/>
        <w:bottom w:val="none" w:sz="0" w:space="0" w:color="auto"/>
        <w:right w:val="none" w:sz="0" w:space="0" w:color="auto"/>
      </w:divBdr>
    </w:div>
    <w:div w:id="677584443">
      <w:bodyDiv w:val="1"/>
      <w:marLeft w:val="0"/>
      <w:marRight w:val="0"/>
      <w:marTop w:val="0"/>
      <w:marBottom w:val="0"/>
      <w:divBdr>
        <w:top w:val="none" w:sz="0" w:space="0" w:color="auto"/>
        <w:left w:val="none" w:sz="0" w:space="0" w:color="auto"/>
        <w:bottom w:val="none" w:sz="0" w:space="0" w:color="auto"/>
        <w:right w:val="none" w:sz="0" w:space="0" w:color="auto"/>
      </w:divBdr>
    </w:div>
    <w:div w:id="1399278600">
      <w:bodyDiv w:val="1"/>
      <w:marLeft w:val="0"/>
      <w:marRight w:val="0"/>
      <w:marTop w:val="0"/>
      <w:marBottom w:val="0"/>
      <w:divBdr>
        <w:top w:val="none" w:sz="0" w:space="0" w:color="auto"/>
        <w:left w:val="none" w:sz="0" w:space="0" w:color="auto"/>
        <w:bottom w:val="none" w:sz="0" w:space="0" w:color="auto"/>
        <w:right w:val="none" w:sz="0" w:space="0" w:color="auto"/>
      </w:divBdr>
    </w:div>
    <w:div w:id="171142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n.minrol.gov.pl/http/virtuallegalis.minrol.gov.pl/akt.do?link=AKT%5B%5D3712128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pn.minrol.gov.pl/http/virtuallegalis.minrol.gov.pl/akt.do?link=AKT%5B%5D371212880" TargetMode="External"/><Relationship Id="rId4" Type="http://schemas.openxmlformats.org/officeDocument/2006/relationships/settings" Target="settings.xml"/><Relationship Id="rId9" Type="http://schemas.openxmlformats.org/officeDocument/2006/relationships/hyperlink" Target="https://vpn.minrol.gov.pl/http/virtuallegalis.minrol.gov.pl/akt.do?link=AKT%5B%5D37121288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C8AC6-7559-476D-B6FF-FB2E98BA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47</Pages>
  <Words>17133</Words>
  <Characters>102802</Characters>
  <Application>Microsoft Office Word</Application>
  <DocSecurity>0</DocSecurity>
  <Lines>856</Lines>
  <Paragraphs>239</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119696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Flis Renata</dc:creator>
  <cp:keywords/>
  <dc:description/>
  <cp:lastModifiedBy>Flis Renata</cp:lastModifiedBy>
  <cp:revision>4</cp:revision>
  <dcterms:created xsi:type="dcterms:W3CDTF">2021-06-11T09:28:00Z</dcterms:created>
  <dcterms:modified xsi:type="dcterms:W3CDTF">2021-06-11T12:42:00Z</dcterms:modified>
</cp:coreProperties>
</file>